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EFDB" w14:textId="5934B6C9" w:rsidR="008E2E20" w:rsidRDefault="007A6569" w:rsidP="004175CA">
      <w:pPr>
        <w:pStyle w:val="Heading1"/>
        <w:jc w:val="left"/>
      </w:pPr>
      <w:r w:rsidRPr="007A6569">
        <w:t>DLUHC EWS1 Professional Indemnity</w:t>
      </w:r>
      <w:r w:rsidR="004175CA">
        <w:t xml:space="preserve"> Insurance</w:t>
      </w:r>
      <w:r w:rsidRPr="007A6569">
        <w:t xml:space="preserve"> Scheme Summary</w:t>
      </w:r>
    </w:p>
    <w:p w14:paraId="2F102CFC" w14:textId="77777777" w:rsidR="007A6569" w:rsidRDefault="007A6569" w:rsidP="007A6569"/>
    <w:p w14:paraId="7A011A9C" w14:textId="150CA4D5" w:rsidR="008351D5" w:rsidRDefault="005911AB" w:rsidP="00220F71">
      <w:pPr>
        <w:pStyle w:val="Heading2"/>
        <w:spacing w:after="240"/>
      </w:pPr>
      <w:r>
        <w:t>Introduction</w:t>
      </w:r>
    </w:p>
    <w:p w14:paraId="00492D0A" w14:textId="6FCB5EBD" w:rsidR="00F22E7C" w:rsidRDefault="00C6349F" w:rsidP="00220F71">
      <w:pPr>
        <w:spacing w:after="240"/>
      </w:pPr>
      <w:r>
        <w:t>T</w:t>
      </w:r>
      <w:r w:rsidR="005911AB">
        <w:t>he purpose of this document</w:t>
      </w:r>
      <w:r w:rsidR="002F2139">
        <w:t xml:space="preserve"> is to provide a summary of the </w:t>
      </w:r>
      <w:r w:rsidR="00796818">
        <w:t>EWS1 P</w:t>
      </w:r>
      <w:r w:rsidR="004175CA">
        <w:t>rofessional Indemnity Insurance Scheme</w:t>
      </w:r>
      <w:r w:rsidR="00C72EAD">
        <w:t xml:space="preserve">. </w:t>
      </w:r>
    </w:p>
    <w:p w14:paraId="7E3FC508" w14:textId="717B02AE" w:rsidR="008351D5" w:rsidRDefault="00DF7C77" w:rsidP="4CA1CD63">
      <w:pPr>
        <w:spacing w:after="240"/>
      </w:pPr>
      <w:r>
        <w:t xml:space="preserve">If you have any </w:t>
      </w:r>
      <w:r w:rsidR="00F22E7C">
        <w:t>questions,</w:t>
      </w:r>
      <w:r>
        <w:t xml:space="preserve"> please send them to </w:t>
      </w:r>
      <w:hyperlink r:id="rId10">
        <w:r w:rsidRPr="4CA1CD63">
          <w:rPr>
            <w:rStyle w:val="Hyperlink"/>
          </w:rPr>
          <w:t>DLUHC.EWS1PII@levellingup.gov.uk</w:t>
        </w:r>
      </w:hyperlink>
      <w:r>
        <w:t xml:space="preserve"> </w:t>
      </w:r>
    </w:p>
    <w:p w14:paraId="372722C1" w14:textId="586D60D4" w:rsidR="008351D5" w:rsidRDefault="4CA1CD63" w:rsidP="4CA1CD63">
      <w:pPr>
        <w:spacing w:after="240"/>
        <w:rPr>
          <w:rFonts w:asciiTheme="majorHAnsi" w:eastAsiaTheme="majorEastAsia" w:hAnsiTheme="majorHAnsi" w:cstheme="majorBidi"/>
          <w:b/>
          <w:bCs/>
          <w:color w:val="002060"/>
          <w:sz w:val="26"/>
          <w:szCs w:val="26"/>
        </w:rPr>
      </w:pPr>
      <w:r w:rsidRPr="4CA1CD63">
        <w:rPr>
          <w:rFonts w:asciiTheme="majorHAnsi" w:eastAsiaTheme="majorEastAsia" w:hAnsiTheme="majorHAnsi" w:cstheme="majorBidi"/>
          <w:b/>
          <w:bCs/>
          <w:color w:val="002060"/>
          <w:sz w:val="26"/>
          <w:szCs w:val="26"/>
        </w:rPr>
        <w:t>Background</w:t>
      </w:r>
    </w:p>
    <w:p w14:paraId="43EB34AA" w14:textId="0FAC4C1D" w:rsidR="0092338C" w:rsidRPr="008445A9" w:rsidRDefault="0092338C" w:rsidP="0092338C">
      <w:r w:rsidRPr="008445A9">
        <w:t xml:space="preserve">The </w:t>
      </w:r>
      <w:r>
        <w:t>EWS1 survey</w:t>
      </w:r>
      <w:r w:rsidRPr="008445A9">
        <w:t xml:space="preserve"> is a set way for a building owner to confirm to valuers and lenders that an external wall system (EWS) or attachments, such as a balcony, on </w:t>
      </w:r>
      <w:r w:rsidR="006B6C82">
        <w:t xml:space="preserve">high rise </w:t>
      </w:r>
      <w:r w:rsidRPr="008445A9">
        <w:t>buildings has been assessed by a suitable expert for likelihood of proportionate remediation to address fire safety risk</w:t>
      </w:r>
      <w:r w:rsidR="009A5BCB">
        <w:t>s</w:t>
      </w:r>
      <w:r w:rsidRPr="008445A9">
        <w:t>.</w:t>
      </w:r>
    </w:p>
    <w:p w14:paraId="3150320E" w14:textId="77777777" w:rsidR="0092338C" w:rsidRPr="008445A9" w:rsidRDefault="0092338C" w:rsidP="0092338C">
      <w:r w:rsidRPr="008445A9">
        <w:t xml:space="preserve">The </w:t>
      </w:r>
      <w:r>
        <w:t>survey</w:t>
      </w:r>
      <w:r w:rsidRPr="008445A9">
        <w:t xml:space="preserve"> was created to ensure residential buildings over 18m tall c</w:t>
      </w:r>
      <w:r>
        <w:t>an</w:t>
      </w:r>
      <w:r w:rsidRPr="008445A9">
        <w:t xml:space="preserve"> be assessed for safety to allow lenders to offer mortgages. It is not a life safety certificate. It should not be taken as confirmation that other works relating to fire safety in other parts of the building are not required. </w:t>
      </w:r>
    </w:p>
    <w:p w14:paraId="6C9D03D2" w14:textId="77777777" w:rsidR="0092338C" w:rsidRPr="008445A9" w:rsidRDefault="0092338C" w:rsidP="0092338C">
      <w:r>
        <w:t>The Royal Institution for Chartered Surveyors (</w:t>
      </w:r>
      <w:r w:rsidRPr="008445A9">
        <w:t>RICS</w:t>
      </w:r>
      <w:r>
        <w:t>)</w:t>
      </w:r>
      <w:r w:rsidRPr="008445A9">
        <w:t xml:space="preserve"> has published proportionate guidance for valuers to help decide whether a particular building should need an </w:t>
      </w:r>
      <w:r>
        <w:t>EWS1 survey</w:t>
      </w:r>
      <w:r w:rsidRPr="008445A9">
        <w:t xml:space="preserve">. Not every building will require an </w:t>
      </w:r>
      <w:r>
        <w:t>EWS1 survey</w:t>
      </w:r>
      <w:r w:rsidRPr="008445A9">
        <w:t xml:space="preserve">. You should always have a rationale to justify the request for the </w:t>
      </w:r>
      <w:r>
        <w:t>EWS1 survey</w:t>
      </w:r>
      <w:r w:rsidRPr="008445A9">
        <w:t>.</w:t>
      </w:r>
    </w:p>
    <w:p w14:paraId="45702491" w14:textId="7FEF8875" w:rsidR="00886CBD" w:rsidRPr="00B20D32" w:rsidRDefault="005A2BA4" w:rsidP="4CA1CD63">
      <w:pPr>
        <w:spacing w:after="240"/>
        <w:rPr>
          <w:rFonts w:ascii="Calibri" w:eastAsia="Calibri" w:hAnsi="Calibri" w:cs="Calibri"/>
          <w:color w:val="000000" w:themeColor="text1"/>
          <w:lang w:val="en-US"/>
        </w:rPr>
      </w:pPr>
      <w:r>
        <w:t>T</w:t>
      </w:r>
      <w:r w:rsidR="00014C31">
        <w:t>he Government-backed professional indemnity insurance scheme</w:t>
      </w:r>
      <w:r w:rsidR="00393BB5">
        <w:t xml:space="preserve"> is now active.</w:t>
      </w:r>
      <w:r w:rsidR="00014C31">
        <w:t xml:space="preserve"> </w:t>
      </w:r>
      <w:r w:rsidR="4CA1CD63" w:rsidRPr="4CA1CD63">
        <w:rPr>
          <w:rFonts w:ascii="Calibri" w:eastAsia="Calibri" w:hAnsi="Calibri" w:cs="Calibri"/>
          <w:color w:val="000000" w:themeColor="text1"/>
          <w:lang w:val="en-US"/>
        </w:rPr>
        <w:t xml:space="preserve">Insurance under the scheme is issued by our insurance partner, SCOR UK, </w:t>
      </w:r>
      <w:r w:rsidR="00482901" w:rsidRPr="4CA1CD63">
        <w:rPr>
          <w:rFonts w:ascii="Calibri" w:eastAsia="Calibri" w:hAnsi="Calibri" w:cs="Calibri"/>
          <w:color w:val="000000" w:themeColor="text1"/>
          <w:lang w:val="en-US"/>
        </w:rPr>
        <w:t>and administered</w:t>
      </w:r>
      <w:r w:rsidR="4CA1CD63" w:rsidRPr="4CA1CD63">
        <w:rPr>
          <w:rFonts w:ascii="Calibri" w:eastAsia="Calibri" w:hAnsi="Calibri" w:cs="Calibri"/>
          <w:color w:val="000000" w:themeColor="text1"/>
          <w:lang w:val="en-US"/>
        </w:rPr>
        <w:t xml:space="preserve"> by their agent, MGAM Limited. </w:t>
      </w:r>
    </w:p>
    <w:p w14:paraId="4725A0A6" w14:textId="56D7A096" w:rsidR="00886CBD" w:rsidRDefault="00B20D32" w:rsidP="00CC7EFD">
      <w:pPr>
        <w:pStyle w:val="Heading2"/>
        <w:spacing w:after="240"/>
      </w:pPr>
      <w:r>
        <w:t>Eligibility</w:t>
      </w:r>
    </w:p>
    <w:p w14:paraId="3B76B6B2" w14:textId="234FD811" w:rsidR="009B5107" w:rsidRDefault="4CA1CD63" w:rsidP="00A235C3">
      <w:pPr>
        <w:spacing w:before="240"/>
      </w:pPr>
      <w:r>
        <w:t>The scheme open</w:t>
      </w:r>
      <w:r w:rsidR="004175CA">
        <w:t>ed</w:t>
      </w:r>
      <w:r>
        <w:t xml:space="preserve"> on 26</w:t>
      </w:r>
      <w:r w:rsidRPr="009B5107">
        <w:rPr>
          <w:vertAlign w:val="superscript"/>
        </w:rPr>
        <w:t>th</w:t>
      </w:r>
      <w:r>
        <w:t xml:space="preserve"> September 2022 and run</w:t>
      </w:r>
      <w:r w:rsidR="00A9096A">
        <w:t>s</w:t>
      </w:r>
      <w:r>
        <w:t xml:space="preserve"> for five years.</w:t>
      </w:r>
      <w:r w:rsidR="009B5107" w:rsidRPr="009B5107">
        <w:t xml:space="preserve"> </w:t>
      </w:r>
      <w:r w:rsidR="005B2981">
        <w:t xml:space="preserve">Policies issued are valid for the lifetime of the EWS1 certificate, which is five years. If a policy is issued in the fifth and final year of the scheme, it will continue to be valid </w:t>
      </w:r>
      <w:r w:rsidR="00074066">
        <w:t xml:space="preserve">for another five years. </w:t>
      </w:r>
      <w:r w:rsidR="009B5107">
        <w:t xml:space="preserve">The scheme </w:t>
      </w:r>
      <w:r w:rsidR="00A9096A">
        <w:t>is</w:t>
      </w:r>
      <w:r w:rsidR="009B5107">
        <w:t xml:space="preserve"> available UK wide.</w:t>
      </w:r>
    </w:p>
    <w:p w14:paraId="1048ED84" w14:textId="62479031" w:rsidR="0068213E" w:rsidRDefault="006F771D" w:rsidP="0084780E">
      <w:pPr>
        <w:spacing w:after="240"/>
      </w:pPr>
      <w:r>
        <w:t>At this current time</w:t>
      </w:r>
      <w:r w:rsidR="00E16AFE">
        <w:t>,</w:t>
      </w:r>
      <w:r w:rsidR="00CC7EFD">
        <w:t xml:space="preserve"> </w:t>
      </w:r>
      <w:r w:rsidR="004B3700">
        <w:t xml:space="preserve">you will need to be on </w:t>
      </w:r>
      <w:r w:rsidR="00947A45">
        <w:t>an</w:t>
      </w:r>
      <w:r w:rsidR="004B3700">
        <w:t xml:space="preserve"> eligibility register</w:t>
      </w:r>
      <w:r w:rsidR="004175CA">
        <w:t xml:space="preserve">, which </w:t>
      </w:r>
      <w:r>
        <w:t>is</w:t>
      </w:r>
      <w:r w:rsidR="004175CA">
        <w:t xml:space="preserve"> managed </w:t>
      </w:r>
      <w:r w:rsidR="004B3700">
        <w:t xml:space="preserve">by </w:t>
      </w:r>
      <w:r w:rsidR="00297B5E">
        <w:t>IF</w:t>
      </w:r>
      <w:r w:rsidR="006468E0">
        <w:t xml:space="preserve">E </w:t>
      </w:r>
      <w:r w:rsidR="00297B5E">
        <w:t>and</w:t>
      </w:r>
      <w:r w:rsidR="006468E0">
        <w:t xml:space="preserve"> RICS</w:t>
      </w:r>
      <w:r w:rsidR="0068213E">
        <w:t xml:space="preserve">, and open to </w:t>
      </w:r>
      <w:r w:rsidR="0082781C">
        <w:t xml:space="preserve">CEng and </w:t>
      </w:r>
      <w:proofErr w:type="spellStart"/>
      <w:r w:rsidR="0082781C">
        <w:t>IEng</w:t>
      </w:r>
      <w:proofErr w:type="spellEnd"/>
      <w:r w:rsidR="0082781C">
        <w:t xml:space="preserve"> </w:t>
      </w:r>
      <w:r w:rsidR="0068213E">
        <w:t>members of IFE</w:t>
      </w:r>
      <w:r w:rsidR="0082781C">
        <w:t>,</w:t>
      </w:r>
      <w:r w:rsidR="0068213E">
        <w:t xml:space="preserve"> and completers of the RICS</w:t>
      </w:r>
      <w:r w:rsidR="0082781C">
        <w:t xml:space="preserve"> EWS Assessment</w:t>
      </w:r>
      <w:r w:rsidR="0068213E">
        <w:t xml:space="preserve"> </w:t>
      </w:r>
      <w:r w:rsidR="0082781C">
        <w:t>T</w:t>
      </w:r>
      <w:r w:rsidR="0068213E">
        <w:t xml:space="preserve">raining </w:t>
      </w:r>
      <w:r w:rsidR="0082781C">
        <w:t>Programme</w:t>
      </w:r>
      <w:r w:rsidR="004B3700">
        <w:t xml:space="preserve">. </w:t>
      </w:r>
    </w:p>
    <w:p w14:paraId="65905ECA" w14:textId="571D6176" w:rsidR="00587C53" w:rsidRDefault="00587C53" w:rsidP="00904B78">
      <w:pPr>
        <w:pStyle w:val="Heading2"/>
        <w:spacing w:before="240"/>
      </w:pPr>
      <w:r>
        <w:t>About the Policy</w:t>
      </w:r>
    </w:p>
    <w:p w14:paraId="283A4237" w14:textId="5EE690A7" w:rsidR="00053C72" w:rsidRPr="009220B2" w:rsidRDefault="00053C72" w:rsidP="00904B78">
      <w:pPr>
        <w:spacing w:before="240"/>
        <w:rPr>
          <w:rStyle w:val="IntenseEmphasis"/>
        </w:rPr>
      </w:pPr>
      <w:r w:rsidRPr="4CA1CD63">
        <w:rPr>
          <w:rStyle w:val="IntenseEmphasis"/>
        </w:rPr>
        <w:t>Key Facts:</w:t>
      </w:r>
    </w:p>
    <w:p w14:paraId="44FAC00F" w14:textId="5900FAFF" w:rsidR="00053C72" w:rsidRDefault="00C2442F" w:rsidP="00053C72">
      <w:pPr>
        <w:pStyle w:val="ListParagraph"/>
        <w:numPr>
          <w:ilvl w:val="0"/>
          <w:numId w:val="11"/>
        </w:numPr>
        <w:spacing w:before="240"/>
      </w:pPr>
      <w:r>
        <w:t>Policies are taken out per building</w:t>
      </w:r>
      <w:r w:rsidR="00C97617">
        <w:t xml:space="preserve"> and </w:t>
      </w:r>
      <w:r w:rsidR="00C51C70">
        <w:t>cover any claim that could arise from an EWS1 assessment</w:t>
      </w:r>
      <w:r w:rsidR="002A442D">
        <w:t xml:space="preserve"> (subject to any limitation period). </w:t>
      </w:r>
      <w:r w:rsidR="00C51C70">
        <w:t xml:space="preserve">You will not need to </w:t>
      </w:r>
      <w:r w:rsidR="00934BBD">
        <w:t>renew the policy on a yearly basis.</w:t>
      </w:r>
    </w:p>
    <w:p w14:paraId="7E76B563" w14:textId="6DAB9B37" w:rsidR="00C97617" w:rsidRDefault="00B93EC2" w:rsidP="00053C72">
      <w:pPr>
        <w:pStyle w:val="ListParagraph"/>
        <w:numPr>
          <w:ilvl w:val="0"/>
          <w:numId w:val="11"/>
        </w:numPr>
        <w:spacing w:before="240"/>
      </w:pPr>
      <w:r>
        <w:t>Policy limits and premiums are determined by building height</w:t>
      </w:r>
      <w:r w:rsidR="00987296">
        <w:t>.</w:t>
      </w:r>
    </w:p>
    <w:p w14:paraId="69C01692" w14:textId="138C7B15" w:rsidR="00053C72" w:rsidRDefault="00DF1326" w:rsidP="00904B78">
      <w:pPr>
        <w:pStyle w:val="ListParagraph"/>
        <w:numPr>
          <w:ilvl w:val="0"/>
          <w:numId w:val="11"/>
        </w:numPr>
        <w:spacing w:before="240"/>
      </w:pPr>
      <w:r>
        <w:t>Premium</w:t>
      </w:r>
      <w:r w:rsidR="0034640F">
        <w:t>s</w:t>
      </w:r>
      <w:r>
        <w:t xml:space="preserve"> must be paid within 60 days of the cover being </w:t>
      </w:r>
      <w:r w:rsidR="009C139B">
        <w:t xml:space="preserve">purchased; </w:t>
      </w:r>
      <w:proofErr w:type="gramStart"/>
      <w:r w:rsidR="009C139B">
        <w:t>otherwise</w:t>
      </w:r>
      <w:proofErr w:type="gramEnd"/>
      <w:r>
        <w:t xml:space="preserve"> the policy will be cancelled. </w:t>
      </w:r>
    </w:p>
    <w:p w14:paraId="4B4D5023" w14:textId="3C22728C" w:rsidR="00214AA5" w:rsidRDefault="003C5BED" w:rsidP="00904B78">
      <w:pPr>
        <w:pStyle w:val="ListParagraph"/>
        <w:numPr>
          <w:ilvl w:val="0"/>
          <w:numId w:val="11"/>
        </w:numPr>
        <w:spacing w:before="240"/>
      </w:pPr>
      <w:r>
        <w:t>Firms can purchase policies</w:t>
      </w:r>
      <w:r w:rsidR="005861DD">
        <w:t xml:space="preserve">. </w:t>
      </w:r>
      <w:r w:rsidR="00A25BE8">
        <w:t>Additional insureds</w:t>
      </w:r>
      <w:r>
        <w:t xml:space="preserve"> </w:t>
      </w:r>
      <w:r w:rsidR="00A25BE8">
        <w:t>can be added to the policy.</w:t>
      </w:r>
    </w:p>
    <w:p w14:paraId="5B5D90B9" w14:textId="5E0B120B" w:rsidR="00587C53" w:rsidRPr="009220B2" w:rsidRDefault="00904B78" w:rsidP="00904B78">
      <w:pPr>
        <w:spacing w:before="240"/>
        <w:rPr>
          <w:rStyle w:val="IntenseEmphasis"/>
        </w:rPr>
      </w:pPr>
      <w:r w:rsidRPr="009220B2">
        <w:rPr>
          <w:rStyle w:val="IntenseEmphasis"/>
        </w:rPr>
        <w:lastRenderedPageBreak/>
        <w:t>Coverage:</w:t>
      </w:r>
    </w:p>
    <w:p w14:paraId="6CA85F29" w14:textId="77777777" w:rsidR="00E77CA6" w:rsidRDefault="00327E33" w:rsidP="00705A4C">
      <w:pPr>
        <w:pStyle w:val="ListParagraph"/>
        <w:numPr>
          <w:ilvl w:val="0"/>
          <w:numId w:val="4"/>
        </w:numPr>
      </w:pPr>
      <w:r w:rsidRPr="00327E33">
        <w:t>The policy for this scheme is provided on a “project” basis. Once incepted, the policy will respond to any claim resulting from the Survey whenever it is made (subject to any limitation period that may apply).</w:t>
      </w:r>
      <w:r w:rsidR="00640B1A" w:rsidRPr="00640B1A">
        <w:t xml:space="preserve"> </w:t>
      </w:r>
    </w:p>
    <w:p w14:paraId="1422A9A9" w14:textId="16B76A1E" w:rsidR="00824778" w:rsidRPr="003D2C69" w:rsidRDefault="00640B1A" w:rsidP="00705A4C">
      <w:pPr>
        <w:pStyle w:val="ListParagraph"/>
        <w:numPr>
          <w:ilvl w:val="0"/>
          <w:numId w:val="4"/>
        </w:numPr>
        <w:rPr>
          <w:rFonts w:cstheme="minorHAnsi"/>
        </w:rPr>
      </w:pPr>
      <w:r w:rsidRPr="00890B22">
        <w:rPr>
          <w:rFonts w:cstheme="minorHAnsi"/>
        </w:rPr>
        <w:t xml:space="preserve">For example, </w:t>
      </w:r>
      <w:r w:rsidR="00BA7217" w:rsidRPr="003D2C69">
        <w:rPr>
          <w:rFonts w:cstheme="minorHAnsi"/>
          <w:color w:val="262626"/>
          <w:shd w:val="clear" w:color="auto" w:fill="FFFFFF"/>
        </w:rPr>
        <w:t xml:space="preserve">an EWS1 survey conducted in year 1 is used by a mortgage lender to make lending decisions. If a new EWS1 survey carried out in year 7 concludes that the previous form had an incorrect rating, the policy would respond to claims for losses where the EWS1 was relied upon by parties because the EWS1 form was valid when used by the mortgage lender and it is within the terms of the policy and statutory limitation period. However, if a mortgage lender relied on the EWS1 in year 6 to make a lending decision and subsequently found in year 7 that the rating was incorrect, the policy would not respond to that claim because the EWS1 form had expired at the time the form was relied upon to make a decision. </w:t>
      </w:r>
    </w:p>
    <w:p w14:paraId="20BD6190" w14:textId="538A5F82" w:rsidR="00E77CA6" w:rsidRPr="00822FEE" w:rsidRDefault="00822FEE" w:rsidP="00705A4C">
      <w:pPr>
        <w:pStyle w:val="ListParagraph"/>
        <w:numPr>
          <w:ilvl w:val="0"/>
          <w:numId w:val="4"/>
        </w:numPr>
        <w:rPr>
          <w:rFonts w:cstheme="minorHAnsi"/>
        </w:rPr>
      </w:pPr>
      <w:r w:rsidRPr="003D2C69">
        <w:rPr>
          <w:color w:val="000000"/>
          <w:lang w:eastAsia="en-GB"/>
        </w:rPr>
        <w:t>The policy covers an external wall system assessment for the completion of an EWS1 form. It does not cover the use of that assessment in any other application, such as part of a fire risk assessment.</w:t>
      </w:r>
      <w:r w:rsidR="00FD5F0C">
        <w:rPr>
          <w:color w:val="000000"/>
          <w:lang w:eastAsia="en-GB"/>
        </w:rPr>
        <w:t xml:space="preserve"> It is designed to complement general PI cover</w:t>
      </w:r>
      <w:r w:rsidR="007A5DDD">
        <w:rPr>
          <w:color w:val="000000"/>
          <w:lang w:eastAsia="en-GB"/>
        </w:rPr>
        <w:t>, which can be used for assessments in an FRA or other surveys</w:t>
      </w:r>
      <w:r w:rsidR="00FF4872">
        <w:rPr>
          <w:color w:val="000000"/>
          <w:lang w:eastAsia="en-GB"/>
        </w:rPr>
        <w:t xml:space="preserve">. </w:t>
      </w:r>
    </w:p>
    <w:p w14:paraId="5B915E12" w14:textId="627D9707" w:rsidR="00333388" w:rsidRPr="003D2C69" w:rsidRDefault="00333388" w:rsidP="00705A4C">
      <w:pPr>
        <w:pStyle w:val="ListParagraph"/>
        <w:numPr>
          <w:ilvl w:val="0"/>
          <w:numId w:val="4"/>
        </w:numPr>
        <w:rPr>
          <w:rFonts w:cstheme="minorHAnsi"/>
        </w:rPr>
      </w:pPr>
      <w:r w:rsidRPr="003D2C69">
        <w:rPr>
          <w:rFonts w:cstheme="minorHAnsi"/>
        </w:rPr>
        <w:t>The policy covers:</w:t>
      </w:r>
    </w:p>
    <w:p w14:paraId="72D2C136" w14:textId="5CA3526D" w:rsidR="00333388" w:rsidRPr="00333388" w:rsidRDefault="00333388" w:rsidP="00333388">
      <w:pPr>
        <w:pStyle w:val="ListParagraph"/>
        <w:numPr>
          <w:ilvl w:val="1"/>
          <w:numId w:val="4"/>
        </w:numPr>
      </w:pPr>
      <w:r w:rsidRPr="00333388">
        <w:t xml:space="preserve">Civil liability for claims arising as a result of the </w:t>
      </w:r>
      <w:proofErr w:type="gramStart"/>
      <w:r w:rsidRPr="00333388">
        <w:t>Assessment;</w:t>
      </w:r>
      <w:proofErr w:type="gramEnd"/>
    </w:p>
    <w:p w14:paraId="1A4B2B4E" w14:textId="77777777" w:rsidR="00333388" w:rsidRPr="00333388" w:rsidRDefault="00333388" w:rsidP="00333388">
      <w:pPr>
        <w:pStyle w:val="ListParagraph"/>
        <w:numPr>
          <w:ilvl w:val="1"/>
          <w:numId w:val="4"/>
        </w:numPr>
      </w:pPr>
      <w:r w:rsidRPr="00333388">
        <w:t xml:space="preserve">Ombudsman’s awards in relation to the </w:t>
      </w:r>
      <w:proofErr w:type="gramStart"/>
      <w:r w:rsidRPr="00333388">
        <w:t>Survey;</w:t>
      </w:r>
      <w:proofErr w:type="gramEnd"/>
    </w:p>
    <w:p w14:paraId="50C91E62" w14:textId="77777777" w:rsidR="00333388" w:rsidRPr="00333388" w:rsidRDefault="00333388" w:rsidP="00333388">
      <w:pPr>
        <w:pStyle w:val="ListParagraph"/>
        <w:numPr>
          <w:ilvl w:val="1"/>
          <w:numId w:val="4"/>
        </w:numPr>
      </w:pPr>
      <w:r w:rsidRPr="00333388">
        <w:t>Defence costs against civil prosecution in relation to a covered claim; and</w:t>
      </w:r>
    </w:p>
    <w:p w14:paraId="7EACA52B" w14:textId="38AC7D93" w:rsidR="00333388" w:rsidRDefault="00333388" w:rsidP="003C1C40">
      <w:pPr>
        <w:pStyle w:val="ListParagraph"/>
        <w:numPr>
          <w:ilvl w:val="1"/>
          <w:numId w:val="4"/>
        </w:numPr>
      </w:pPr>
      <w:r w:rsidRPr="00333388">
        <w:t>Legal representation costs at civil legal proceedings in connection with a covered claim</w:t>
      </w:r>
      <w:r w:rsidR="0095211E">
        <w:t>.</w:t>
      </w:r>
    </w:p>
    <w:p w14:paraId="3F0EBD87" w14:textId="1E99D5A0" w:rsidR="00B41988" w:rsidRDefault="00DC04C3" w:rsidP="00B41988">
      <w:pPr>
        <w:pStyle w:val="ListParagraph"/>
        <w:numPr>
          <w:ilvl w:val="0"/>
          <w:numId w:val="4"/>
        </w:numPr>
      </w:pPr>
      <w:r>
        <w:t>Coverage</w:t>
      </w:r>
      <w:r w:rsidR="0067024F">
        <w:t xml:space="preserve"> </w:t>
      </w:r>
      <w:r>
        <w:t>is</w:t>
      </w:r>
      <w:r w:rsidR="0067024F">
        <w:t xml:space="preserve"> set according to</w:t>
      </w:r>
      <w:r>
        <w:t xml:space="preserve"> building height</w:t>
      </w:r>
      <w:r w:rsidR="005D7049">
        <w:t xml:space="preserve"> (</w:t>
      </w:r>
      <w:r w:rsidR="002B6805">
        <w:rPr>
          <w:rStyle w:val="IntenseEmphasis"/>
          <w:i w:val="0"/>
          <w:iCs w:val="0"/>
          <w:color w:val="auto"/>
        </w:rPr>
        <w:t>P</w:t>
      </w:r>
      <w:r w:rsidR="005D7049" w:rsidRPr="00E27D0F">
        <w:rPr>
          <w:rStyle w:val="IntenseEmphasis"/>
          <w:i w:val="0"/>
          <w:iCs w:val="0"/>
          <w:color w:val="auto"/>
        </w:rPr>
        <w:t>ricing</w:t>
      </w:r>
      <w:r w:rsidR="002B6805">
        <w:rPr>
          <w:rStyle w:val="IntenseEmphasis"/>
          <w:i w:val="0"/>
          <w:iCs w:val="0"/>
          <w:color w:val="auto"/>
        </w:rPr>
        <w:t xml:space="preserve"> will be made available on launch</w:t>
      </w:r>
      <w:r w:rsidR="005D7049">
        <w:rPr>
          <w:rStyle w:val="IntenseEmphasis"/>
          <w:i w:val="0"/>
          <w:iCs w:val="0"/>
          <w:color w:val="auto"/>
        </w:rPr>
        <w:t>)</w:t>
      </w:r>
      <w:r w:rsidR="002E3DAE">
        <w:t>:</w:t>
      </w:r>
    </w:p>
    <w:tbl>
      <w:tblPr>
        <w:tblStyle w:val="TableGrid"/>
        <w:tblW w:w="0" w:type="auto"/>
        <w:tblInd w:w="760" w:type="dxa"/>
        <w:tblBorders>
          <w:top w:val="none" w:sz="0" w:space="0" w:color="auto"/>
          <w:left w:val="none" w:sz="0" w:space="0" w:color="auto"/>
          <w:bottom w:val="none" w:sz="0" w:space="0" w:color="auto"/>
          <w:right w:val="none" w:sz="0" w:space="0" w:color="auto"/>
          <w:insideH w:val="single" w:sz="8" w:space="0" w:color="AEAAAA" w:themeColor="background2" w:themeShade="BF"/>
          <w:insideV w:val="none" w:sz="0" w:space="0" w:color="auto"/>
        </w:tblBorders>
        <w:tblLook w:val="04A0" w:firstRow="1" w:lastRow="0" w:firstColumn="1" w:lastColumn="0" w:noHBand="0" w:noVBand="1"/>
      </w:tblPr>
      <w:tblGrid>
        <w:gridCol w:w="3681"/>
        <w:gridCol w:w="1559"/>
      </w:tblGrid>
      <w:tr w:rsidR="00546B96" w14:paraId="27B99312" w14:textId="77777777" w:rsidTr="002E3DAE">
        <w:tc>
          <w:tcPr>
            <w:tcW w:w="3681" w:type="dxa"/>
            <w:tcBorders>
              <w:bottom w:val="single" w:sz="8" w:space="0" w:color="AEAAAA" w:themeColor="background2" w:themeShade="BF"/>
            </w:tcBorders>
          </w:tcPr>
          <w:p w14:paraId="12C2FF3E" w14:textId="0578C2DE" w:rsidR="00546B96" w:rsidRDefault="0019259E" w:rsidP="003C1C40">
            <w:pPr>
              <w:rPr>
                <w:rStyle w:val="IntenseEmphasis"/>
              </w:rPr>
            </w:pPr>
            <w:r>
              <w:rPr>
                <w:rStyle w:val="IntenseEmphasis"/>
              </w:rPr>
              <w:t>Building Height</w:t>
            </w:r>
          </w:p>
        </w:tc>
        <w:tc>
          <w:tcPr>
            <w:tcW w:w="1559" w:type="dxa"/>
            <w:tcBorders>
              <w:bottom w:val="single" w:sz="8" w:space="0" w:color="AEAAAA" w:themeColor="background2" w:themeShade="BF"/>
            </w:tcBorders>
          </w:tcPr>
          <w:p w14:paraId="5DC69E73" w14:textId="5920CD84" w:rsidR="00546B96" w:rsidRDefault="0019259E" w:rsidP="003C1C40">
            <w:pPr>
              <w:rPr>
                <w:rStyle w:val="IntenseEmphasis"/>
              </w:rPr>
            </w:pPr>
            <w:r>
              <w:rPr>
                <w:rStyle w:val="IntenseEmphasis"/>
              </w:rPr>
              <w:t>Policy Limits</w:t>
            </w:r>
          </w:p>
        </w:tc>
      </w:tr>
      <w:tr w:rsidR="00546B96" w:rsidRPr="00771258" w14:paraId="58E82527" w14:textId="77777777" w:rsidTr="002E3DAE">
        <w:tc>
          <w:tcPr>
            <w:tcW w:w="3681" w:type="dxa"/>
            <w:tcBorders>
              <w:top w:val="single" w:sz="8" w:space="0" w:color="AEAAAA" w:themeColor="background2" w:themeShade="BF"/>
              <w:bottom w:val="nil"/>
            </w:tcBorders>
          </w:tcPr>
          <w:p w14:paraId="154BE598" w14:textId="44030D34" w:rsidR="00546B96" w:rsidRPr="0019259E" w:rsidRDefault="0019259E" w:rsidP="0019259E">
            <w:pPr>
              <w:rPr>
                <w:rStyle w:val="IntenseEmphasis"/>
                <w:i w:val="0"/>
                <w:iCs w:val="0"/>
                <w:color w:val="auto"/>
              </w:rPr>
            </w:pPr>
            <w:r w:rsidRPr="0019259E">
              <w:rPr>
                <w:rStyle w:val="IntenseEmphasis"/>
                <w:i w:val="0"/>
                <w:iCs w:val="0"/>
                <w:color w:val="auto"/>
              </w:rPr>
              <w:t>Buildings from 11m up to 18m</w:t>
            </w:r>
          </w:p>
        </w:tc>
        <w:tc>
          <w:tcPr>
            <w:tcW w:w="1559" w:type="dxa"/>
            <w:tcBorders>
              <w:top w:val="single" w:sz="8" w:space="0" w:color="AEAAAA" w:themeColor="background2" w:themeShade="BF"/>
              <w:bottom w:val="nil"/>
            </w:tcBorders>
          </w:tcPr>
          <w:p w14:paraId="1BB3B9B5" w14:textId="063CD950" w:rsidR="00546B96" w:rsidRPr="00771258" w:rsidRDefault="00771258" w:rsidP="003C1C40">
            <w:pPr>
              <w:rPr>
                <w:rStyle w:val="IntenseEmphasis"/>
                <w:i w:val="0"/>
                <w:iCs w:val="0"/>
                <w:color w:val="auto"/>
              </w:rPr>
            </w:pPr>
            <w:r w:rsidRPr="00771258">
              <w:rPr>
                <w:rStyle w:val="IntenseEmphasis"/>
                <w:i w:val="0"/>
                <w:iCs w:val="0"/>
                <w:color w:val="auto"/>
              </w:rPr>
              <w:t>£2m</w:t>
            </w:r>
          </w:p>
        </w:tc>
      </w:tr>
      <w:tr w:rsidR="00546B96" w:rsidRPr="00771258" w14:paraId="5ED56B05" w14:textId="77777777" w:rsidTr="002E3DAE">
        <w:tc>
          <w:tcPr>
            <w:tcW w:w="3681" w:type="dxa"/>
            <w:tcBorders>
              <w:top w:val="nil"/>
              <w:bottom w:val="nil"/>
            </w:tcBorders>
          </w:tcPr>
          <w:p w14:paraId="5CE61F2F" w14:textId="02AD7FD2" w:rsidR="00546B96" w:rsidRPr="00771258" w:rsidRDefault="00771258" w:rsidP="003C1C40">
            <w:pPr>
              <w:rPr>
                <w:rStyle w:val="IntenseEmphasis"/>
                <w:i w:val="0"/>
                <w:iCs w:val="0"/>
                <w:color w:val="auto"/>
              </w:rPr>
            </w:pPr>
            <w:r w:rsidRPr="0019259E">
              <w:rPr>
                <w:rStyle w:val="IntenseEmphasis"/>
                <w:i w:val="0"/>
                <w:iCs w:val="0"/>
                <w:color w:val="auto"/>
              </w:rPr>
              <w:t xml:space="preserve">Buildings from </w:t>
            </w:r>
            <w:r>
              <w:rPr>
                <w:rStyle w:val="IntenseEmphasis"/>
                <w:i w:val="0"/>
                <w:iCs w:val="0"/>
                <w:color w:val="auto"/>
              </w:rPr>
              <w:t>18</w:t>
            </w:r>
            <w:r w:rsidRPr="0019259E">
              <w:rPr>
                <w:rStyle w:val="IntenseEmphasis"/>
                <w:i w:val="0"/>
                <w:iCs w:val="0"/>
                <w:color w:val="auto"/>
              </w:rPr>
              <w:t xml:space="preserve">m up to </w:t>
            </w:r>
            <w:r>
              <w:rPr>
                <w:rStyle w:val="IntenseEmphasis"/>
                <w:i w:val="0"/>
                <w:iCs w:val="0"/>
                <w:color w:val="auto"/>
              </w:rPr>
              <w:t>30</w:t>
            </w:r>
            <w:r w:rsidRPr="0019259E">
              <w:rPr>
                <w:rStyle w:val="IntenseEmphasis"/>
                <w:i w:val="0"/>
                <w:iCs w:val="0"/>
                <w:color w:val="auto"/>
              </w:rPr>
              <w:t>m</w:t>
            </w:r>
          </w:p>
        </w:tc>
        <w:tc>
          <w:tcPr>
            <w:tcW w:w="1559" w:type="dxa"/>
            <w:tcBorders>
              <w:top w:val="nil"/>
              <w:bottom w:val="nil"/>
            </w:tcBorders>
          </w:tcPr>
          <w:p w14:paraId="03473C00" w14:textId="55352BDD" w:rsidR="00546B96" w:rsidRPr="00771258" w:rsidRDefault="00771258" w:rsidP="003C1C40">
            <w:pPr>
              <w:rPr>
                <w:rStyle w:val="IntenseEmphasis"/>
                <w:i w:val="0"/>
                <w:iCs w:val="0"/>
                <w:color w:val="auto"/>
              </w:rPr>
            </w:pPr>
            <w:r>
              <w:rPr>
                <w:rStyle w:val="IntenseEmphasis"/>
                <w:i w:val="0"/>
                <w:iCs w:val="0"/>
                <w:color w:val="auto"/>
              </w:rPr>
              <w:t>£5m</w:t>
            </w:r>
          </w:p>
        </w:tc>
      </w:tr>
      <w:tr w:rsidR="00546B96" w:rsidRPr="00771258" w14:paraId="448EF9ED" w14:textId="77777777" w:rsidTr="002E3DAE">
        <w:tc>
          <w:tcPr>
            <w:tcW w:w="3681" w:type="dxa"/>
            <w:tcBorders>
              <w:top w:val="nil"/>
              <w:bottom w:val="nil"/>
            </w:tcBorders>
          </w:tcPr>
          <w:p w14:paraId="3C77804D" w14:textId="04DDD134" w:rsidR="00546B96" w:rsidRPr="00771258" w:rsidRDefault="00771258" w:rsidP="003C1C40">
            <w:pPr>
              <w:rPr>
                <w:rStyle w:val="IntenseEmphasis"/>
                <w:i w:val="0"/>
                <w:iCs w:val="0"/>
                <w:color w:val="auto"/>
              </w:rPr>
            </w:pPr>
            <w:r w:rsidRPr="0019259E">
              <w:rPr>
                <w:rStyle w:val="IntenseEmphasis"/>
                <w:i w:val="0"/>
                <w:iCs w:val="0"/>
                <w:color w:val="auto"/>
              </w:rPr>
              <w:t xml:space="preserve">Buildings </w:t>
            </w:r>
            <w:r w:rsidR="002E3DAE">
              <w:rPr>
                <w:rStyle w:val="IntenseEmphasis"/>
                <w:i w:val="0"/>
                <w:iCs w:val="0"/>
                <w:color w:val="auto"/>
              </w:rPr>
              <w:t>over 30m</w:t>
            </w:r>
          </w:p>
        </w:tc>
        <w:tc>
          <w:tcPr>
            <w:tcW w:w="1559" w:type="dxa"/>
            <w:tcBorders>
              <w:top w:val="nil"/>
              <w:bottom w:val="nil"/>
            </w:tcBorders>
          </w:tcPr>
          <w:p w14:paraId="4F81E084" w14:textId="3B272587" w:rsidR="004056B7" w:rsidRPr="00771258" w:rsidRDefault="002E3DAE" w:rsidP="003C1C40">
            <w:pPr>
              <w:rPr>
                <w:rStyle w:val="IntenseEmphasis"/>
                <w:i w:val="0"/>
                <w:iCs w:val="0"/>
                <w:color w:val="auto"/>
              </w:rPr>
            </w:pPr>
            <w:r>
              <w:rPr>
                <w:rStyle w:val="IntenseEmphasis"/>
                <w:i w:val="0"/>
                <w:iCs w:val="0"/>
                <w:color w:val="auto"/>
              </w:rPr>
              <w:t>£10m</w:t>
            </w:r>
          </w:p>
        </w:tc>
      </w:tr>
    </w:tbl>
    <w:p w14:paraId="32D1EF39" w14:textId="288256C7" w:rsidR="005D7049" w:rsidRPr="005D7049" w:rsidRDefault="005D7049" w:rsidP="005D7049">
      <w:pPr>
        <w:pStyle w:val="NoSpacing"/>
        <w:ind w:left="360"/>
        <w:rPr>
          <w:rStyle w:val="IntenseEmphasis"/>
          <w:i w:val="0"/>
          <w:iCs w:val="0"/>
          <w:color w:val="auto"/>
        </w:rPr>
      </w:pPr>
    </w:p>
    <w:p w14:paraId="1101EAEA" w14:textId="4A1FFF50" w:rsidR="00155426" w:rsidRDefault="00155426" w:rsidP="003C1C40">
      <w:pPr>
        <w:pStyle w:val="NoSpacing"/>
        <w:numPr>
          <w:ilvl w:val="0"/>
          <w:numId w:val="15"/>
        </w:numPr>
        <w:rPr>
          <w:rStyle w:val="IntenseEmphasis"/>
          <w:i w:val="0"/>
          <w:iCs w:val="0"/>
          <w:color w:val="auto"/>
        </w:rPr>
      </w:pPr>
      <w:r>
        <w:rPr>
          <w:rStyle w:val="IntenseEmphasis"/>
          <w:i w:val="0"/>
          <w:iCs w:val="0"/>
          <w:color w:val="auto"/>
        </w:rPr>
        <w:t>Buildings below 11m</w:t>
      </w:r>
      <w:r w:rsidR="00E77CA6">
        <w:rPr>
          <w:rStyle w:val="IntenseEmphasis"/>
          <w:i w:val="0"/>
          <w:iCs w:val="0"/>
          <w:color w:val="auto"/>
        </w:rPr>
        <w:t>, built after 2018 and under construction</w:t>
      </w:r>
      <w:r>
        <w:rPr>
          <w:rStyle w:val="IntenseEmphasis"/>
          <w:i w:val="0"/>
          <w:iCs w:val="0"/>
          <w:color w:val="auto"/>
        </w:rPr>
        <w:t xml:space="preserve"> are excluded.</w:t>
      </w:r>
    </w:p>
    <w:p w14:paraId="1568B3C1" w14:textId="064D1DF5" w:rsidR="007E0255" w:rsidRDefault="007E0255" w:rsidP="008923AD">
      <w:pPr>
        <w:pStyle w:val="NoSpacing"/>
        <w:ind w:left="360"/>
        <w:rPr>
          <w:rStyle w:val="IntenseEmphasis"/>
          <w:i w:val="0"/>
          <w:iCs w:val="0"/>
          <w:color w:val="auto"/>
        </w:rPr>
      </w:pPr>
    </w:p>
    <w:p w14:paraId="05B49124" w14:textId="77777777" w:rsidR="00E27D0F" w:rsidRPr="00E27D0F" w:rsidRDefault="00E27D0F" w:rsidP="00E27D0F">
      <w:pPr>
        <w:pStyle w:val="NoSpacing"/>
        <w:ind w:left="360"/>
        <w:rPr>
          <w:rStyle w:val="IntenseEmphasis"/>
          <w:i w:val="0"/>
          <w:iCs w:val="0"/>
          <w:color w:val="auto"/>
        </w:rPr>
      </w:pPr>
    </w:p>
    <w:p w14:paraId="04CCDB26" w14:textId="07493A9C" w:rsidR="003C1C40" w:rsidRPr="009220B2" w:rsidRDefault="003C1C40" w:rsidP="003C1C40">
      <w:pPr>
        <w:rPr>
          <w:rStyle w:val="IntenseEmphasis"/>
        </w:rPr>
      </w:pPr>
      <w:r w:rsidRPr="4750EA3E">
        <w:rPr>
          <w:rStyle w:val="IntenseEmphasis"/>
        </w:rPr>
        <w:t>Professional Appointment:</w:t>
      </w:r>
    </w:p>
    <w:p w14:paraId="471BCBE0" w14:textId="299AC0C6" w:rsidR="4750EA3E" w:rsidRPr="00E77CA6" w:rsidRDefault="4750EA3E" w:rsidP="00890B22">
      <w:pPr>
        <w:pStyle w:val="ListParagraph"/>
        <w:numPr>
          <w:ilvl w:val="0"/>
          <w:numId w:val="5"/>
        </w:numPr>
        <w:rPr>
          <w:rFonts w:ascii="Calibri" w:eastAsia="Calibri" w:hAnsi="Calibri" w:cs="Calibri"/>
        </w:rPr>
      </w:pPr>
      <w:r w:rsidRPr="4750EA3E">
        <w:t>As a condition of the policy, you must use the professional appointment letter provided to contract with a building owner, their agent, or others with an interest in the building (such as a lender)</w:t>
      </w:r>
      <w:r w:rsidR="00E77CA6">
        <w:t xml:space="preserve"> to ensure </w:t>
      </w:r>
      <w:r w:rsidRPr="00890B22">
        <w:rPr>
          <w:rFonts w:ascii="Calibri" w:eastAsia="Calibri" w:hAnsi="Calibri" w:cs="Calibri"/>
        </w:rPr>
        <w:t>the scope of work is appropriately covered by our insurance policy.</w:t>
      </w:r>
    </w:p>
    <w:p w14:paraId="1AE23565" w14:textId="6D649928" w:rsidR="009872B3" w:rsidRPr="009872B3" w:rsidRDefault="009872B3" w:rsidP="009872B3">
      <w:pPr>
        <w:pStyle w:val="ListParagraph"/>
        <w:numPr>
          <w:ilvl w:val="0"/>
          <w:numId w:val="5"/>
        </w:numPr>
      </w:pPr>
      <w:r>
        <w:t>The professional appointment letter outlines the requirements upon the building owner or an entity contracting on behalf of the building owner and assessor. </w:t>
      </w:r>
    </w:p>
    <w:p w14:paraId="49F3AE20" w14:textId="6BE3B152" w:rsidR="003C1C40" w:rsidRDefault="009872B3" w:rsidP="009872B3">
      <w:pPr>
        <w:pStyle w:val="ListParagraph"/>
        <w:numPr>
          <w:ilvl w:val="0"/>
          <w:numId w:val="5"/>
        </w:numPr>
      </w:pPr>
      <w:r>
        <w:t xml:space="preserve">This includes binding terms for the building owner or contracting entity to pay 40% of the fees </w:t>
      </w:r>
      <w:r w:rsidRPr="00A235C3">
        <w:rPr>
          <w:i/>
          <w:iCs/>
        </w:rPr>
        <w:t>in advance</w:t>
      </w:r>
      <w:r>
        <w:t xml:space="preserve"> of the assessment being carried out.</w:t>
      </w:r>
    </w:p>
    <w:p w14:paraId="0E34EB99" w14:textId="1CFCE58C" w:rsidR="00F01E7F" w:rsidRPr="009220B2" w:rsidRDefault="00F01E7F" w:rsidP="00F01E7F">
      <w:pPr>
        <w:rPr>
          <w:rStyle w:val="IntenseEmphasis"/>
        </w:rPr>
      </w:pPr>
      <w:r w:rsidRPr="009220B2">
        <w:rPr>
          <w:rStyle w:val="IntenseEmphasis"/>
        </w:rPr>
        <w:t>Payment Terms:</w:t>
      </w:r>
    </w:p>
    <w:p w14:paraId="76F296FF" w14:textId="2C243888" w:rsidR="00BE71E3" w:rsidRPr="00BE71E3" w:rsidRDefault="00BE71E3" w:rsidP="00DE46BC">
      <w:pPr>
        <w:pStyle w:val="ListParagraph"/>
        <w:numPr>
          <w:ilvl w:val="0"/>
          <w:numId w:val="7"/>
        </w:numPr>
      </w:pPr>
      <w:r>
        <w:t>The premium must be paid within 60 days of the start of cover. Assessors are covered from the date the policy is issued. If the premium is not paid within this time the Insurer has the right to cancel this Policy by notifying the policyholder in writing. </w:t>
      </w:r>
    </w:p>
    <w:p w14:paraId="4C0F3248" w14:textId="1266C877" w:rsidR="00F01E7F" w:rsidRDefault="00BE71E3" w:rsidP="00BE71E3">
      <w:pPr>
        <w:pStyle w:val="ListParagraph"/>
        <w:numPr>
          <w:ilvl w:val="0"/>
          <w:numId w:val="7"/>
        </w:numPr>
      </w:pPr>
      <w:r w:rsidRPr="00BE71E3">
        <w:lastRenderedPageBreak/>
        <w:t>The Insurer will provide a minimum of 30 days’ notice of its intent to cancel</w:t>
      </w:r>
      <w:r w:rsidR="007C2454">
        <w:t>.</w:t>
      </w:r>
      <w:r w:rsidRPr="00BE71E3">
        <w:t xml:space="preserve"> </w:t>
      </w:r>
      <w:r w:rsidR="005C6068">
        <w:t>I</w:t>
      </w:r>
      <w:r w:rsidRPr="00BE71E3">
        <w:t>f the premium is paid in full before the notice period expires the cancellation notice shall be revoked, if not, the Policy can be automatically deemed to have been terminated from inception.</w:t>
      </w:r>
    </w:p>
    <w:p w14:paraId="719F1346" w14:textId="1D79EF20" w:rsidR="00BE71E3" w:rsidRPr="009220B2" w:rsidRDefault="00BE71E3" w:rsidP="00BE71E3">
      <w:pPr>
        <w:rPr>
          <w:rStyle w:val="IntenseEmphasis"/>
        </w:rPr>
      </w:pPr>
      <w:r w:rsidRPr="009220B2">
        <w:rPr>
          <w:rStyle w:val="IntenseEmphasis"/>
        </w:rPr>
        <w:t>Conditions:</w:t>
      </w:r>
    </w:p>
    <w:p w14:paraId="4017D8D0" w14:textId="77777777" w:rsidR="00845F8A" w:rsidRDefault="00BE71E3" w:rsidP="00BE71E3">
      <w:pPr>
        <w:pStyle w:val="ListParagraph"/>
        <w:numPr>
          <w:ilvl w:val="0"/>
          <w:numId w:val="9"/>
        </w:numPr>
      </w:pPr>
      <w:r w:rsidRPr="00BE71E3">
        <w:t>Whilst the policy includes all the general conditions that would be expected from a professional indemnity policy, it also includes some specific conditions:</w:t>
      </w:r>
    </w:p>
    <w:p w14:paraId="0E96FB4C" w14:textId="77777777" w:rsidR="00845F8A" w:rsidRDefault="00BE71E3" w:rsidP="00BE71E3">
      <w:pPr>
        <w:pStyle w:val="ListParagraph"/>
        <w:numPr>
          <w:ilvl w:val="1"/>
          <w:numId w:val="9"/>
        </w:numPr>
      </w:pPr>
      <w:r w:rsidRPr="00BE71E3">
        <w:t>Assessment Standards </w:t>
      </w:r>
      <w:r w:rsidR="00845F8A">
        <w:t xml:space="preserve">- </w:t>
      </w:r>
      <w:r w:rsidRPr="00BE71E3">
        <w:t>The survey must be undertaken to the following standards:</w:t>
      </w:r>
    </w:p>
    <w:p w14:paraId="1514E7FB" w14:textId="307687EC" w:rsidR="00845F8A" w:rsidRDefault="00BE71E3" w:rsidP="00BE71E3">
      <w:pPr>
        <w:pStyle w:val="ListParagraph"/>
        <w:numPr>
          <w:ilvl w:val="2"/>
          <w:numId w:val="9"/>
        </w:numPr>
      </w:pPr>
      <w:r>
        <w:t>The top storey is more than 11m above ground level - as calculated in accordance with the Building Regulations 2010 (Building Regulations).</w:t>
      </w:r>
    </w:p>
    <w:p w14:paraId="6911EE45" w14:textId="47F60216" w:rsidR="00845F8A" w:rsidRDefault="00BE71E3" w:rsidP="00BE71E3">
      <w:pPr>
        <w:pStyle w:val="ListParagraph"/>
        <w:numPr>
          <w:ilvl w:val="2"/>
          <w:numId w:val="9"/>
        </w:numPr>
      </w:pPr>
      <w:r>
        <w:t>The BSI PAS 9980, and all other applicable laws, regulations, professional guidance notes and industry codes of practice. </w:t>
      </w:r>
    </w:p>
    <w:p w14:paraId="4F12E0F0" w14:textId="77777777" w:rsidR="00845F8A" w:rsidRDefault="00BE71E3" w:rsidP="00BE71E3">
      <w:pPr>
        <w:pStyle w:val="ListParagraph"/>
        <w:numPr>
          <w:ilvl w:val="1"/>
          <w:numId w:val="9"/>
        </w:numPr>
      </w:pPr>
      <w:r w:rsidRPr="00BE71E3">
        <w:t>Public Liability Insurance </w:t>
      </w:r>
    </w:p>
    <w:p w14:paraId="06838974" w14:textId="35721131" w:rsidR="00BE71E3" w:rsidRDefault="00BE71E3" w:rsidP="00845F8A">
      <w:pPr>
        <w:pStyle w:val="ListParagraph"/>
        <w:numPr>
          <w:ilvl w:val="2"/>
          <w:numId w:val="9"/>
        </w:numPr>
      </w:pPr>
      <w:r>
        <w:t xml:space="preserve">The insured must maintain public liability insurance covering the work undertaken as part of the survey with a limit of at least </w:t>
      </w:r>
      <w:r w:rsidR="00F97DB9">
        <w:t>£1m</w:t>
      </w:r>
      <w:r>
        <w:t xml:space="preserve"> every occurrence.</w:t>
      </w:r>
    </w:p>
    <w:p w14:paraId="791E7AE6" w14:textId="5FF13D00" w:rsidR="00721ECE" w:rsidRPr="009220B2" w:rsidRDefault="00721ECE" w:rsidP="00721ECE">
      <w:pPr>
        <w:rPr>
          <w:rStyle w:val="IntenseEmphasis"/>
        </w:rPr>
      </w:pPr>
      <w:r w:rsidRPr="009220B2">
        <w:rPr>
          <w:rStyle w:val="IntenseEmphasis"/>
        </w:rPr>
        <w:t>Exclusions:</w:t>
      </w:r>
    </w:p>
    <w:p w14:paraId="377BA155" w14:textId="77777777" w:rsidR="00721ECE" w:rsidRDefault="00721ECE" w:rsidP="00721ECE">
      <w:pPr>
        <w:pStyle w:val="ListParagraph"/>
        <w:numPr>
          <w:ilvl w:val="0"/>
          <w:numId w:val="9"/>
        </w:numPr>
      </w:pPr>
      <w:r w:rsidRPr="00721ECE">
        <w:t>Whilst the policy includes all the general exclusions that would be expected from a professional indemnity policy, it also includes several specific exclusions:</w:t>
      </w:r>
    </w:p>
    <w:p w14:paraId="7EA5663A" w14:textId="77777777" w:rsidR="00721ECE" w:rsidRDefault="00721ECE" w:rsidP="00721ECE">
      <w:pPr>
        <w:pStyle w:val="ListParagraph"/>
        <w:numPr>
          <w:ilvl w:val="1"/>
          <w:numId w:val="9"/>
        </w:numPr>
      </w:pPr>
      <w:r w:rsidRPr="00721ECE">
        <w:rPr>
          <w:u w:val="single"/>
        </w:rPr>
        <w:t xml:space="preserve">Contractual Limitation </w:t>
      </w:r>
      <w:r w:rsidRPr="00721ECE">
        <w:t>- any loss arising from any survey carried out other than under the Agreed Form Professional Appointment. </w:t>
      </w:r>
    </w:p>
    <w:p w14:paraId="0B0E4DF8" w14:textId="77777777" w:rsidR="00721ECE" w:rsidRDefault="00721ECE" w:rsidP="00721ECE">
      <w:pPr>
        <w:pStyle w:val="ListParagraph"/>
        <w:numPr>
          <w:ilvl w:val="1"/>
          <w:numId w:val="9"/>
        </w:numPr>
      </w:pPr>
      <w:r w:rsidRPr="00721ECE">
        <w:rPr>
          <w:u w:val="single"/>
        </w:rPr>
        <w:t xml:space="preserve">Late Reliance </w:t>
      </w:r>
      <w:r w:rsidRPr="00721ECE">
        <w:t>- reliance upon the results of a Survey: (a) after a period of 5 years from it being carried out: or (b) after the carrying out of another EWS1 survey for a valid reason, whichever is the earliest.</w:t>
      </w:r>
    </w:p>
    <w:p w14:paraId="577D9192" w14:textId="77777777" w:rsidR="00721ECE" w:rsidRDefault="00721ECE" w:rsidP="00721ECE">
      <w:pPr>
        <w:pStyle w:val="ListParagraph"/>
        <w:numPr>
          <w:ilvl w:val="1"/>
          <w:numId w:val="9"/>
        </w:numPr>
      </w:pPr>
      <w:r w:rsidRPr="00721ECE">
        <w:rPr>
          <w:u w:val="single"/>
        </w:rPr>
        <w:t>No Fire Safety Requirement </w:t>
      </w:r>
      <w:r w:rsidRPr="00721ECE">
        <w:t>- any loss arising from a Survey which is undertaken on a premises which did not require one. The assessor should determine whether a survey is required before the policy is issued. </w:t>
      </w:r>
    </w:p>
    <w:p w14:paraId="24F4C416" w14:textId="77777777" w:rsidR="00721ECE" w:rsidRDefault="00721ECE" w:rsidP="00721ECE">
      <w:pPr>
        <w:pStyle w:val="ListParagraph"/>
        <w:numPr>
          <w:ilvl w:val="1"/>
          <w:numId w:val="9"/>
        </w:numPr>
      </w:pPr>
      <w:r w:rsidRPr="00721ECE">
        <w:rPr>
          <w:u w:val="single"/>
        </w:rPr>
        <w:t xml:space="preserve">Previous Activities </w:t>
      </w:r>
      <w:r w:rsidRPr="00721ECE">
        <w:t>- any claim resulting from the insureds professional activities carried out prior to the inception of the policy. </w:t>
      </w:r>
    </w:p>
    <w:p w14:paraId="7AC91BB1" w14:textId="77777777" w:rsidR="00721ECE" w:rsidRDefault="00721ECE" w:rsidP="00721ECE">
      <w:pPr>
        <w:pStyle w:val="ListParagraph"/>
        <w:numPr>
          <w:ilvl w:val="1"/>
          <w:numId w:val="9"/>
        </w:numPr>
      </w:pPr>
      <w:r w:rsidRPr="00721ECE">
        <w:rPr>
          <w:u w:val="single"/>
        </w:rPr>
        <w:t xml:space="preserve">Subsequent Work </w:t>
      </w:r>
      <w:r w:rsidRPr="00721ECE">
        <w:t>- reliance upon the results of the Survey where another EWS1 survey has been</w:t>
      </w:r>
      <w:r>
        <w:t xml:space="preserve"> </w:t>
      </w:r>
      <w:r w:rsidRPr="00721ECE">
        <w:t>carried out within 5 years of the survey period (other than for a valid reason) - this exclusion does not apply to the first survey undertaken following remedial works to certify such previous work.</w:t>
      </w:r>
    </w:p>
    <w:p w14:paraId="41E4ECAF" w14:textId="44B57F6B" w:rsidR="00587C53" w:rsidRDefault="00721ECE" w:rsidP="00587C53">
      <w:pPr>
        <w:pStyle w:val="ListParagraph"/>
        <w:numPr>
          <w:ilvl w:val="1"/>
          <w:numId w:val="9"/>
        </w:numPr>
      </w:pPr>
      <w:r w:rsidRPr="00721ECE">
        <w:rPr>
          <w:u w:val="single"/>
        </w:rPr>
        <w:t xml:space="preserve">Qualifications and Experience </w:t>
      </w:r>
      <w:r w:rsidRPr="00721ECE">
        <w:t>- any claims where the Survey has been undertaken by someone without the relevant experience and/or qualifications.</w:t>
      </w:r>
    </w:p>
    <w:p w14:paraId="5DA1AF44" w14:textId="5A840722" w:rsidR="00A86E32" w:rsidRDefault="008923AD" w:rsidP="00587C53">
      <w:pPr>
        <w:pStyle w:val="ListParagraph"/>
        <w:numPr>
          <w:ilvl w:val="1"/>
          <w:numId w:val="9"/>
        </w:numPr>
      </w:pPr>
      <w:r>
        <w:rPr>
          <w:u w:val="single"/>
        </w:rPr>
        <w:t xml:space="preserve">Alternative </w:t>
      </w:r>
      <w:r w:rsidR="00A86E32" w:rsidRPr="008923AD">
        <w:rPr>
          <w:u w:val="single"/>
        </w:rPr>
        <w:t xml:space="preserve">Use of </w:t>
      </w:r>
      <w:r w:rsidR="00A86E32">
        <w:rPr>
          <w:u w:val="single"/>
        </w:rPr>
        <w:t>A</w:t>
      </w:r>
      <w:r w:rsidR="00A86E32" w:rsidRPr="008923AD">
        <w:rPr>
          <w:u w:val="single"/>
        </w:rPr>
        <w:t xml:space="preserve">ssociated </w:t>
      </w:r>
      <w:r>
        <w:rPr>
          <w:u w:val="single"/>
        </w:rPr>
        <w:t>D</w:t>
      </w:r>
      <w:r w:rsidR="00A86E32" w:rsidRPr="008923AD">
        <w:rPr>
          <w:u w:val="single"/>
        </w:rPr>
        <w:t>ocumentation</w:t>
      </w:r>
      <w:r w:rsidR="00A86E32">
        <w:t xml:space="preserve"> - </w:t>
      </w:r>
      <w:r>
        <w:rPr>
          <w:color w:val="000000"/>
          <w:lang w:eastAsia="en-GB"/>
        </w:rPr>
        <w:t>Policy coverage is restricted to the use of the EWS1 for valuation purposes and does not include technical reports or suggested action</w:t>
      </w:r>
      <w:r w:rsidR="00C94CCF">
        <w:rPr>
          <w:color w:val="000000"/>
          <w:lang w:eastAsia="en-GB"/>
        </w:rPr>
        <w:t>s</w:t>
      </w:r>
      <w:r>
        <w:rPr>
          <w:color w:val="000000"/>
          <w:lang w:eastAsia="en-GB"/>
        </w:rPr>
        <w:t xml:space="preserve"> based on the report.</w:t>
      </w:r>
    </w:p>
    <w:p w14:paraId="5D51DDD3" w14:textId="74D8F872" w:rsidR="005911AB" w:rsidRDefault="00587C53" w:rsidP="007B27E8">
      <w:pPr>
        <w:pStyle w:val="Heading2"/>
        <w:spacing w:after="240"/>
      </w:pPr>
      <w:r>
        <w:t>Audit Prov</w:t>
      </w:r>
      <w:r w:rsidR="005911AB">
        <w:t>isions</w:t>
      </w:r>
    </w:p>
    <w:p w14:paraId="206D30AE" w14:textId="77777777" w:rsidR="007B27E8" w:rsidRPr="007B27E8" w:rsidRDefault="007B27E8" w:rsidP="007B27E8">
      <w:pPr>
        <w:spacing w:after="240"/>
      </w:pPr>
      <w:r w:rsidRPr="007B27E8">
        <w:t>All EWS1s will be subject to an audit process. As a condition of each policy, assessors must:</w:t>
      </w:r>
    </w:p>
    <w:p w14:paraId="17F1344B" w14:textId="4E0B5DAC" w:rsidR="007B27E8" w:rsidRDefault="007B27E8" w:rsidP="00180665">
      <w:pPr>
        <w:numPr>
          <w:ilvl w:val="0"/>
          <w:numId w:val="16"/>
        </w:numPr>
        <w:spacing w:after="0"/>
      </w:pPr>
      <w:r w:rsidRPr="007B27E8">
        <w:t>upload (a) the completed EWS1 form and report and (b) the signed professional appointment letter within 14 days of its completion via the online platform</w:t>
      </w:r>
      <w:r w:rsidR="004F5D82">
        <w:t>.</w:t>
      </w:r>
    </w:p>
    <w:p w14:paraId="597923A7" w14:textId="77777777" w:rsidR="00B67FB8" w:rsidRPr="007B27E8" w:rsidRDefault="00B67FB8" w:rsidP="00413CF7">
      <w:pPr>
        <w:spacing w:after="0"/>
        <w:ind w:left="720"/>
      </w:pPr>
    </w:p>
    <w:p w14:paraId="09AE30E5" w14:textId="77777777" w:rsidR="00180665" w:rsidRDefault="00180665" w:rsidP="00A235C3">
      <w:pPr>
        <w:spacing w:after="0"/>
      </w:pPr>
    </w:p>
    <w:p w14:paraId="697986B3" w14:textId="515DA68E" w:rsidR="005911AB" w:rsidRPr="005911AB" w:rsidRDefault="0018593D" w:rsidP="005911AB">
      <w:pPr>
        <w:pStyle w:val="Heading2"/>
      </w:pPr>
      <w:r>
        <w:lastRenderedPageBreak/>
        <w:t>How to purchase</w:t>
      </w:r>
      <w:r w:rsidR="005E5827">
        <w:t xml:space="preserve"> a policy</w:t>
      </w:r>
    </w:p>
    <w:p w14:paraId="66422497" w14:textId="6A278C75" w:rsidR="00587C53" w:rsidRPr="00886CBD" w:rsidRDefault="00A11A49" w:rsidP="00886CBD">
      <w:r>
        <w:t xml:space="preserve">For further details and to purchase a policy, you can do at </w:t>
      </w:r>
      <w:hyperlink r:id="rId11" w:history="1">
        <w:r w:rsidR="003D2C43" w:rsidRPr="00A474B5">
          <w:rPr>
            <w:rStyle w:val="Hyperlink"/>
          </w:rPr>
          <w:t>https://ews1gateway.co.uk/</w:t>
        </w:r>
      </w:hyperlink>
      <w:r w:rsidR="003D2C43">
        <w:t xml:space="preserve"> </w:t>
      </w:r>
    </w:p>
    <w:sectPr w:rsidR="00587C53" w:rsidRPr="00886CB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76F8" w14:textId="77777777" w:rsidR="0030078C" w:rsidRDefault="0030078C" w:rsidP="003E0381">
      <w:pPr>
        <w:spacing w:after="0" w:line="240" w:lineRule="auto"/>
      </w:pPr>
      <w:r>
        <w:separator/>
      </w:r>
    </w:p>
  </w:endnote>
  <w:endnote w:type="continuationSeparator" w:id="0">
    <w:p w14:paraId="0857DBE1" w14:textId="77777777" w:rsidR="0030078C" w:rsidRDefault="0030078C" w:rsidP="003E0381">
      <w:pPr>
        <w:spacing w:after="0" w:line="240" w:lineRule="auto"/>
      </w:pPr>
      <w:r>
        <w:continuationSeparator/>
      </w:r>
    </w:p>
  </w:endnote>
  <w:endnote w:type="continuationNotice" w:id="1">
    <w:p w14:paraId="2D6122F2" w14:textId="77777777" w:rsidR="0030078C" w:rsidRDefault="00300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40215"/>
      <w:docPartObj>
        <w:docPartGallery w:val="Page Numbers (Bottom of Page)"/>
        <w:docPartUnique/>
      </w:docPartObj>
    </w:sdtPr>
    <w:sdtEndPr>
      <w:rPr>
        <w:noProof/>
      </w:rPr>
    </w:sdtEndPr>
    <w:sdtContent>
      <w:p w14:paraId="144FA68E" w14:textId="1E80FCCD" w:rsidR="003E0381" w:rsidRDefault="003E03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8864D" w14:textId="77777777" w:rsidR="003E0381" w:rsidRDefault="003E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F286" w14:textId="77777777" w:rsidR="0030078C" w:rsidRDefault="0030078C" w:rsidP="003E0381">
      <w:pPr>
        <w:spacing w:after="0" w:line="240" w:lineRule="auto"/>
      </w:pPr>
      <w:r>
        <w:separator/>
      </w:r>
    </w:p>
  </w:footnote>
  <w:footnote w:type="continuationSeparator" w:id="0">
    <w:p w14:paraId="339EDAB5" w14:textId="77777777" w:rsidR="0030078C" w:rsidRDefault="0030078C" w:rsidP="003E0381">
      <w:pPr>
        <w:spacing w:after="0" w:line="240" w:lineRule="auto"/>
      </w:pPr>
      <w:r>
        <w:continuationSeparator/>
      </w:r>
    </w:p>
  </w:footnote>
  <w:footnote w:type="continuationNotice" w:id="1">
    <w:p w14:paraId="57F1C9F0" w14:textId="77777777" w:rsidR="0030078C" w:rsidRDefault="00300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7B6A" w14:textId="2D558FC1" w:rsidR="003E0381" w:rsidRDefault="003E0381">
    <w:pPr>
      <w:pStyle w:val="Header"/>
    </w:pPr>
    <w:r w:rsidRPr="0053613D">
      <w:rPr>
        <w:noProof/>
      </w:rPr>
      <w:drawing>
        <wp:inline distT="0" distB="0" distL="0" distR="0" wp14:anchorId="2867C260" wp14:editId="5D5F5563">
          <wp:extent cx="1652395" cy="493331"/>
          <wp:effectExtent l="0" t="0" r="5080" b="2540"/>
          <wp:docPr id="4" name="Picture 3">
            <a:extLst xmlns:a="http://schemas.openxmlformats.org/drawingml/2006/main">
              <a:ext uri="{FF2B5EF4-FFF2-40B4-BE49-F238E27FC236}">
                <a16:creationId xmlns:a16="http://schemas.microsoft.com/office/drawing/2014/main" id="{D5E758A0-4D23-8B49-8C54-C9616A83C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5E758A0-4D23-8B49-8C54-C9616A83C6A0}"/>
                      </a:ext>
                    </a:extLst>
                  </pic:cNvPr>
                  <pic:cNvPicPr>
                    <a:picLocks noChangeAspect="1"/>
                  </pic:cNvPicPr>
                </pic:nvPicPr>
                <pic:blipFill>
                  <a:blip r:embed="rId1"/>
                  <a:stretch>
                    <a:fillRect/>
                  </a:stretch>
                </pic:blipFill>
                <pic:spPr>
                  <a:xfrm>
                    <a:off x="0" y="0"/>
                    <a:ext cx="1725703" cy="515217"/>
                  </a:xfrm>
                  <a:prstGeom prst="rect">
                    <a:avLst/>
                  </a:prstGeom>
                </pic:spPr>
              </pic:pic>
            </a:graphicData>
          </a:graphic>
        </wp:inline>
      </w:drawing>
    </w:r>
  </w:p>
  <w:p w14:paraId="68784E2D" w14:textId="77777777" w:rsidR="003E0381" w:rsidRDefault="003E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32A"/>
    <w:multiLevelType w:val="hybridMultilevel"/>
    <w:tmpl w:val="C4E2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1B84"/>
    <w:multiLevelType w:val="hybridMultilevel"/>
    <w:tmpl w:val="A4A27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C780C"/>
    <w:multiLevelType w:val="hybridMultilevel"/>
    <w:tmpl w:val="7BDC3B00"/>
    <w:lvl w:ilvl="0" w:tplc="F7204482">
      <w:start w:val="1"/>
      <w:numFmt w:val="bullet"/>
      <w:lvlText w:val="•"/>
      <w:lvlJc w:val="left"/>
      <w:pPr>
        <w:tabs>
          <w:tab w:val="num" w:pos="720"/>
        </w:tabs>
        <w:ind w:left="720" w:hanging="360"/>
      </w:pPr>
      <w:rPr>
        <w:rFonts w:ascii="Arial" w:hAnsi="Arial" w:hint="default"/>
      </w:rPr>
    </w:lvl>
    <w:lvl w:ilvl="1" w:tplc="AEDCA9DC" w:tentative="1">
      <w:start w:val="1"/>
      <w:numFmt w:val="bullet"/>
      <w:lvlText w:val="•"/>
      <w:lvlJc w:val="left"/>
      <w:pPr>
        <w:tabs>
          <w:tab w:val="num" w:pos="1440"/>
        </w:tabs>
        <w:ind w:left="1440" w:hanging="360"/>
      </w:pPr>
      <w:rPr>
        <w:rFonts w:ascii="Arial" w:hAnsi="Arial" w:hint="default"/>
      </w:rPr>
    </w:lvl>
    <w:lvl w:ilvl="2" w:tplc="F0E8AD14" w:tentative="1">
      <w:start w:val="1"/>
      <w:numFmt w:val="bullet"/>
      <w:lvlText w:val="•"/>
      <w:lvlJc w:val="left"/>
      <w:pPr>
        <w:tabs>
          <w:tab w:val="num" w:pos="2160"/>
        </w:tabs>
        <w:ind w:left="2160" w:hanging="360"/>
      </w:pPr>
      <w:rPr>
        <w:rFonts w:ascii="Arial" w:hAnsi="Arial" w:hint="default"/>
      </w:rPr>
    </w:lvl>
    <w:lvl w:ilvl="3" w:tplc="78C6AD5C" w:tentative="1">
      <w:start w:val="1"/>
      <w:numFmt w:val="bullet"/>
      <w:lvlText w:val="•"/>
      <w:lvlJc w:val="left"/>
      <w:pPr>
        <w:tabs>
          <w:tab w:val="num" w:pos="2880"/>
        </w:tabs>
        <w:ind w:left="2880" w:hanging="360"/>
      </w:pPr>
      <w:rPr>
        <w:rFonts w:ascii="Arial" w:hAnsi="Arial" w:hint="default"/>
      </w:rPr>
    </w:lvl>
    <w:lvl w:ilvl="4" w:tplc="1DB87004" w:tentative="1">
      <w:start w:val="1"/>
      <w:numFmt w:val="bullet"/>
      <w:lvlText w:val="•"/>
      <w:lvlJc w:val="left"/>
      <w:pPr>
        <w:tabs>
          <w:tab w:val="num" w:pos="3600"/>
        </w:tabs>
        <w:ind w:left="3600" w:hanging="360"/>
      </w:pPr>
      <w:rPr>
        <w:rFonts w:ascii="Arial" w:hAnsi="Arial" w:hint="default"/>
      </w:rPr>
    </w:lvl>
    <w:lvl w:ilvl="5" w:tplc="CFC8C790" w:tentative="1">
      <w:start w:val="1"/>
      <w:numFmt w:val="bullet"/>
      <w:lvlText w:val="•"/>
      <w:lvlJc w:val="left"/>
      <w:pPr>
        <w:tabs>
          <w:tab w:val="num" w:pos="4320"/>
        </w:tabs>
        <w:ind w:left="4320" w:hanging="360"/>
      </w:pPr>
      <w:rPr>
        <w:rFonts w:ascii="Arial" w:hAnsi="Arial" w:hint="default"/>
      </w:rPr>
    </w:lvl>
    <w:lvl w:ilvl="6" w:tplc="6804DF40" w:tentative="1">
      <w:start w:val="1"/>
      <w:numFmt w:val="bullet"/>
      <w:lvlText w:val="•"/>
      <w:lvlJc w:val="left"/>
      <w:pPr>
        <w:tabs>
          <w:tab w:val="num" w:pos="5040"/>
        </w:tabs>
        <w:ind w:left="5040" w:hanging="360"/>
      </w:pPr>
      <w:rPr>
        <w:rFonts w:ascii="Arial" w:hAnsi="Arial" w:hint="default"/>
      </w:rPr>
    </w:lvl>
    <w:lvl w:ilvl="7" w:tplc="5A8E4FE6" w:tentative="1">
      <w:start w:val="1"/>
      <w:numFmt w:val="bullet"/>
      <w:lvlText w:val="•"/>
      <w:lvlJc w:val="left"/>
      <w:pPr>
        <w:tabs>
          <w:tab w:val="num" w:pos="5760"/>
        </w:tabs>
        <w:ind w:left="5760" w:hanging="360"/>
      </w:pPr>
      <w:rPr>
        <w:rFonts w:ascii="Arial" w:hAnsi="Arial" w:hint="default"/>
      </w:rPr>
    </w:lvl>
    <w:lvl w:ilvl="8" w:tplc="896A4A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16883"/>
    <w:multiLevelType w:val="hybridMultilevel"/>
    <w:tmpl w:val="841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12AB7"/>
    <w:multiLevelType w:val="hybridMultilevel"/>
    <w:tmpl w:val="E334D762"/>
    <w:lvl w:ilvl="0" w:tplc="83A61808">
      <w:start w:val="1"/>
      <w:numFmt w:val="bullet"/>
      <w:lvlText w:val="•"/>
      <w:lvlJc w:val="left"/>
      <w:pPr>
        <w:tabs>
          <w:tab w:val="num" w:pos="720"/>
        </w:tabs>
        <w:ind w:left="720" w:hanging="360"/>
      </w:pPr>
      <w:rPr>
        <w:rFonts w:ascii="Arial" w:hAnsi="Arial" w:hint="default"/>
      </w:rPr>
    </w:lvl>
    <w:lvl w:ilvl="1" w:tplc="5EEAD39A" w:tentative="1">
      <w:start w:val="1"/>
      <w:numFmt w:val="bullet"/>
      <w:lvlText w:val="•"/>
      <w:lvlJc w:val="left"/>
      <w:pPr>
        <w:tabs>
          <w:tab w:val="num" w:pos="1440"/>
        </w:tabs>
        <w:ind w:left="1440" w:hanging="360"/>
      </w:pPr>
      <w:rPr>
        <w:rFonts w:ascii="Arial" w:hAnsi="Arial" w:hint="default"/>
      </w:rPr>
    </w:lvl>
    <w:lvl w:ilvl="2" w:tplc="6F44EECE" w:tentative="1">
      <w:start w:val="1"/>
      <w:numFmt w:val="bullet"/>
      <w:lvlText w:val="•"/>
      <w:lvlJc w:val="left"/>
      <w:pPr>
        <w:tabs>
          <w:tab w:val="num" w:pos="2160"/>
        </w:tabs>
        <w:ind w:left="2160" w:hanging="360"/>
      </w:pPr>
      <w:rPr>
        <w:rFonts w:ascii="Arial" w:hAnsi="Arial" w:hint="default"/>
      </w:rPr>
    </w:lvl>
    <w:lvl w:ilvl="3" w:tplc="E07CA0FE" w:tentative="1">
      <w:start w:val="1"/>
      <w:numFmt w:val="bullet"/>
      <w:lvlText w:val="•"/>
      <w:lvlJc w:val="left"/>
      <w:pPr>
        <w:tabs>
          <w:tab w:val="num" w:pos="2880"/>
        </w:tabs>
        <w:ind w:left="2880" w:hanging="360"/>
      </w:pPr>
      <w:rPr>
        <w:rFonts w:ascii="Arial" w:hAnsi="Arial" w:hint="default"/>
      </w:rPr>
    </w:lvl>
    <w:lvl w:ilvl="4" w:tplc="AE6294E6" w:tentative="1">
      <w:start w:val="1"/>
      <w:numFmt w:val="bullet"/>
      <w:lvlText w:val="•"/>
      <w:lvlJc w:val="left"/>
      <w:pPr>
        <w:tabs>
          <w:tab w:val="num" w:pos="3600"/>
        </w:tabs>
        <w:ind w:left="3600" w:hanging="360"/>
      </w:pPr>
      <w:rPr>
        <w:rFonts w:ascii="Arial" w:hAnsi="Arial" w:hint="default"/>
      </w:rPr>
    </w:lvl>
    <w:lvl w:ilvl="5" w:tplc="DC1A78EC" w:tentative="1">
      <w:start w:val="1"/>
      <w:numFmt w:val="bullet"/>
      <w:lvlText w:val="•"/>
      <w:lvlJc w:val="left"/>
      <w:pPr>
        <w:tabs>
          <w:tab w:val="num" w:pos="4320"/>
        </w:tabs>
        <w:ind w:left="4320" w:hanging="360"/>
      </w:pPr>
      <w:rPr>
        <w:rFonts w:ascii="Arial" w:hAnsi="Arial" w:hint="default"/>
      </w:rPr>
    </w:lvl>
    <w:lvl w:ilvl="6" w:tplc="823A8C9A" w:tentative="1">
      <w:start w:val="1"/>
      <w:numFmt w:val="bullet"/>
      <w:lvlText w:val="•"/>
      <w:lvlJc w:val="left"/>
      <w:pPr>
        <w:tabs>
          <w:tab w:val="num" w:pos="5040"/>
        </w:tabs>
        <w:ind w:left="5040" w:hanging="360"/>
      </w:pPr>
      <w:rPr>
        <w:rFonts w:ascii="Arial" w:hAnsi="Arial" w:hint="default"/>
      </w:rPr>
    </w:lvl>
    <w:lvl w:ilvl="7" w:tplc="57245A60" w:tentative="1">
      <w:start w:val="1"/>
      <w:numFmt w:val="bullet"/>
      <w:lvlText w:val="•"/>
      <w:lvlJc w:val="left"/>
      <w:pPr>
        <w:tabs>
          <w:tab w:val="num" w:pos="5760"/>
        </w:tabs>
        <w:ind w:left="5760" w:hanging="360"/>
      </w:pPr>
      <w:rPr>
        <w:rFonts w:ascii="Arial" w:hAnsi="Arial" w:hint="default"/>
      </w:rPr>
    </w:lvl>
    <w:lvl w:ilvl="8" w:tplc="8F8EDC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7108FE"/>
    <w:multiLevelType w:val="hybridMultilevel"/>
    <w:tmpl w:val="62A617A8"/>
    <w:lvl w:ilvl="0" w:tplc="02E2DC8E">
      <w:start w:val="1"/>
      <w:numFmt w:val="bullet"/>
      <w:lvlText w:val="o"/>
      <w:lvlJc w:val="left"/>
      <w:pPr>
        <w:tabs>
          <w:tab w:val="num" w:pos="720"/>
        </w:tabs>
        <w:ind w:left="720" w:hanging="360"/>
      </w:pPr>
      <w:rPr>
        <w:rFonts w:ascii="Courier New" w:hAnsi="Courier New" w:hint="default"/>
      </w:rPr>
    </w:lvl>
    <w:lvl w:ilvl="1" w:tplc="DF26332E">
      <w:start w:val="1"/>
      <w:numFmt w:val="bullet"/>
      <w:lvlText w:val="o"/>
      <w:lvlJc w:val="left"/>
      <w:pPr>
        <w:tabs>
          <w:tab w:val="num" w:pos="1440"/>
        </w:tabs>
        <w:ind w:left="1440" w:hanging="360"/>
      </w:pPr>
      <w:rPr>
        <w:rFonts w:ascii="Courier New" w:hAnsi="Courier New" w:hint="default"/>
      </w:rPr>
    </w:lvl>
    <w:lvl w:ilvl="2" w:tplc="C3C638E0" w:tentative="1">
      <w:start w:val="1"/>
      <w:numFmt w:val="bullet"/>
      <w:lvlText w:val="o"/>
      <w:lvlJc w:val="left"/>
      <w:pPr>
        <w:tabs>
          <w:tab w:val="num" w:pos="2160"/>
        </w:tabs>
        <w:ind w:left="2160" w:hanging="360"/>
      </w:pPr>
      <w:rPr>
        <w:rFonts w:ascii="Courier New" w:hAnsi="Courier New" w:hint="default"/>
      </w:rPr>
    </w:lvl>
    <w:lvl w:ilvl="3" w:tplc="3932B3D2" w:tentative="1">
      <w:start w:val="1"/>
      <w:numFmt w:val="bullet"/>
      <w:lvlText w:val="o"/>
      <w:lvlJc w:val="left"/>
      <w:pPr>
        <w:tabs>
          <w:tab w:val="num" w:pos="2880"/>
        </w:tabs>
        <w:ind w:left="2880" w:hanging="360"/>
      </w:pPr>
      <w:rPr>
        <w:rFonts w:ascii="Courier New" w:hAnsi="Courier New" w:hint="default"/>
      </w:rPr>
    </w:lvl>
    <w:lvl w:ilvl="4" w:tplc="12268362" w:tentative="1">
      <w:start w:val="1"/>
      <w:numFmt w:val="bullet"/>
      <w:lvlText w:val="o"/>
      <w:lvlJc w:val="left"/>
      <w:pPr>
        <w:tabs>
          <w:tab w:val="num" w:pos="3600"/>
        </w:tabs>
        <w:ind w:left="3600" w:hanging="360"/>
      </w:pPr>
      <w:rPr>
        <w:rFonts w:ascii="Courier New" w:hAnsi="Courier New" w:hint="default"/>
      </w:rPr>
    </w:lvl>
    <w:lvl w:ilvl="5" w:tplc="EE060FDE" w:tentative="1">
      <w:start w:val="1"/>
      <w:numFmt w:val="bullet"/>
      <w:lvlText w:val="o"/>
      <w:lvlJc w:val="left"/>
      <w:pPr>
        <w:tabs>
          <w:tab w:val="num" w:pos="4320"/>
        </w:tabs>
        <w:ind w:left="4320" w:hanging="360"/>
      </w:pPr>
      <w:rPr>
        <w:rFonts w:ascii="Courier New" w:hAnsi="Courier New" w:hint="default"/>
      </w:rPr>
    </w:lvl>
    <w:lvl w:ilvl="6" w:tplc="38989C9E" w:tentative="1">
      <w:start w:val="1"/>
      <w:numFmt w:val="bullet"/>
      <w:lvlText w:val="o"/>
      <w:lvlJc w:val="left"/>
      <w:pPr>
        <w:tabs>
          <w:tab w:val="num" w:pos="5040"/>
        </w:tabs>
        <w:ind w:left="5040" w:hanging="360"/>
      </w:pPr>
      <w:rPr>
        <w:rFonts w:ascii="Courier New" w:hAnsi="Courier New" w:hint="default"/>
      </w:rPr>
    </w:lvl>
    <w:lvl w:ilvl="7" w:tplc="009004CE" w:tentative="1">
      <w:start w:val="1"/>
      <w:numFmt w:val="bullet"/>
      <w:lvlText w:val="o"/>
      <w:lvlJc w:val="left"/>
      <w:pPr>
        <w:tabs>
          <w:tab w:val="num" w:pos="5760"/>
        </w:tabs>
        <w:ind w:left="5760" w:hanging="360"/>
      </w:pPr>
      <w:rPr>
        <w:rFonts w:ascii="Courier New" w:hAnsi="Courier New" w:hint="default"/>
      </w:rPr>
    </w:lvl>
    <w:lvl w:ilvl="8" w:tplc="D16E26B2"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00645A4"/>
    <w:multiLevelType w:val="hybridMultilevel"/>
    <w:tmpl w:val="EE84E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59AE"/>
    <w:multiLevelType w:val="hybridMultilevel"/>
    <w:tmpl w:val="738E9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F35DF"/>
    <w:multiLevelType w:val="hybridMultilevel"/>
    <w:tmpl w:val="DF58CFD6"/>
    <w:lvl w:ilvl="0" w:tplc="C5EC92AC">
      <w:start w:val="1"/>
      <w:numFmt w:val="bullet"/>
      <w:lvlText w:val="•"/>
      <w:lvlJc w:val="left"/>
      <w:pPr>
        <w:tabs>
          <w:tab w:val="num" w:pos="720"/>
        </w:tabs>
        <w:ind w:left="720" w:hanging="360"/>
      </w:pPr>
      <w:rPr>
        <w:rFonts w:ascii="Arial" w:hAnsi="Arial" w:hint="default"/>
      </w:rPr>
    </w:lvl>
    <w:lvl w:ilvl="1" w:tplc="5936BE68" w:tentative="1">
      <w:start w:val="1"/>
      <w:numFmt w:val="bullet"/>
      <w:lvlText w:val="•"/>
      <w:lvlJc w:val="left"/>
      <w:pPr>
        <w:tabs>
          <w:tab w:val="num" w:pos="1440"/>
        </w:tabs>
        <w:ind w:left="1440" w:hanging="360"/>
      </w:pPr>
      <w:rPr>
        <w:rFonts w:ascii="Arial" w:hAnsi="Arial" w:hint="default"/>
      </w:rPr>
    </w:lvl>
    <w:lvl w:ilvl="2" w:tplc="3A7C003C" w:tentative="1">
      <w:start w:val="1"/>
      <w:numFmt w:val="bullet"/>
      <w:lvlText w:val="•"/>
      <w:lvlJc w:val="left"/>
      <w:pPr>
        <w:tabs>
          <w:tab w:val="num" w:pos="2160"/>
        </w:tabs>
        <w:ind w:left="2160" w:hanging="360"/>
      </w:pPr>
      <w:rPr>
        <w:rFonts w:ascii="Arial" w:hAnsi="Arial" w:hint="default"/>
      </w:rPr>
    </w:lvl>
    <w:lvl w:ilvl="3" w:tplc="6B4E028A" w:tentative="1">
      <w:start w:val="1"/>
      <w:numFmt w:val="bullet"/>
      <w:lvlText w:val="•"/>
      <w:lvlJc w:val="left"/>
      <w:pPr>
        <w:tabs>
          <w:tab w:val="num" w:pos="2880"/>
        </w:tabs>
        <w:ind w:left="2880" w:hanging="360"/>
      </w:pPr>
      <w:rPr>
        <w:rFonts w:ascii="Arial" w:hAnsi="Arial" w:hint="default"/>
      </w:rPr>
    </w:lvl>
    <w:lvl w:ilvl="4" w:tplc="C3041658" w:tentative="1">
      <w:start w:val="1"/>
      <w:numFmt w:val="bullet"/>
      <w:lvlText w:val="•"/>
      <w:lvlJc w:val="left"/>
      <w:pPr>
        <w:tabs>
          <w:tab w:val="num" w:pos="3600"/>
        </w:tabs>
        <w:ind w:left="3600" w:hanging="360"/>
      </w:pPr>
      <w:rPr>
        <w:rFonts w:ascii="Arial" w:hAnsi="Arial" w:hint="default"/>
      </w:rPr>
    </w:lvl>
    <w:lvl w:ilvl="5" w:tplc="A634B106" w:tentative="1">
      <w:start w:val="1"/>
      <w:numFmt w:val="bullet"/>
      <w:lvlText w:val="•"/>
      <w:lvlJc w:val="left"/>
      <w:pPr>
        <w:tabs>
          <w:tab w:val="num" w:pos="4320"/>
        </w:tabs>
        <w:ind w:left="4320" w:hanging="360"/>
      </w:pPr>
      <w:rPr>
        <w:rFonts w:ascii="Arial" w:hAnsi="Arial" w:hint="default"/>
      </w:rPr>
    </w:lvl>
    <w:lvl w:ilvl="6" w:tplc="C7CEBBC8" w:tentative="1">
      <w:start w:val="1"/>
      <w:numFmt w:val="bullet"/>
      <w:lvlText w:val="•"/>
      <w:lvlJc w:val="left"/>
      <w:pPr>
        <w:tabs>
          <w:tab w:val="num" w:pos="5040"/>
        </w:tabs>
        <w:ind w:left="5040" w:hanging="360"/>
      </w:pPr>
      <w:rPr>
        <w:rFonts w:ascii="Arial" w:hAnsi="Arial" w:hint="default"/>
      </w:rPr>
    </w:lvl>
    <w:lvl w:ilvl="7" w:tplc="5F4E967E" w:tentative="1">
      <w:start w:val="1"/>
      <w:numFmt w:val="bullet"/>
      <w:lvlText w:val="•"/>
      <w:lvlJc w:val="left"/>
      <w:pPr>
        <w:tabs>
          <w:tab w:val="num" w:pos="5760"/>
        </w:tabs>
        <w:ind w:left="5760" w:hanging="360"/>
      </w:pPr>
      <w:rPr>
        <w:rFonts w:ascii="Arial" w:hAnsi="Arial" w:hint="default"/>
      </w:rPr>
    </w:lvl>
    <w:lvl w:ilvl="8" w:tplc="FF3E91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442C45"/>
    <w:multiLevelType w:val="hybridMultilevel"/>
    <w:tmpl w:val="23886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537779"/>
    <w:multiLevelType w:val="hybridMultilevel"/>
    <w:tmpl w:val="72907776"/>
    <w:lvl w:ilvl="0" w:tplc="610EBE94">
      <w:start w:val="1"/>
      <w:numFmt w:val="bullet"/>
      <w:lvlText w:val="•"/>
      <w:lvlJc w:val="left"/>
      <w:pPr>
        <w:tabs>
          <w:tab w:val="num" w:pos="720"/>
        </w:tabs>
        <w:ind w:left="720" w:hanging="360"/>
      </w:pPr>
      <w:rPr>
        <w:rFonts w:ascii="Arial" w:hAnsi="Arial" w:hint="default"/>
      </w:rPr>
    </w:lvl>
    <w:lvl w:ilvl="1" w:tplc="AA18F092" w:tentative="1">
      <w:start w:val="1"/>
      <w:numFmt w:val="bullet"/>
      <w:lvlText w:val="•"/>
      <w:lvlJc w:val="left"/>
      <w:pPr>
        <w:tabs>
          <w:tab w:val="num" w:pos="1440"/>
        </w:tabs>
        <w:ind w:left="1440" w:hanging="360"/>
      </w:pPr>
      <w:rPr>
        <w:rFonts w:ascii="Arial" w:hAnsi="Arial" w:hint="default"/>
      </w:rPr>
    </w:lvl>
    <w:lvl w:ilvl="2" w:tplc="B4906FD4" w:tentative="1">
      <w:start w:val="1"/>
      <w:numFmt w:val="bullet"/>
      <w:lvlText w:val="•"/>
      <w:lvlJc w:val="left"/>
      <w:pPr>
        <w:tabs>
          <w:tab w:val="num" w:pos="2160"/>
        </w:tabs>
        <w:ind w:left="2160" w:hanging="360"/>
      </w:pPr>
      <w:rPr>
        <w:rFonts w:ascii="Arial" w:hAnsi="Arial" w:hint="default"/>
      </w:rPr>
    </w:lvl>
    <w:lvl w:ilvl="3" w:tplc="99060AF6" w:tentative="1">
      <w:start w:val="1"/>
      <w:numFmt w:val="bullet"/>
      <w:lvlText w:val="•"/>
      <w:lvlJc w:val="left"/>
      <w:pPr>
        <w:tabs>
          <w:tab w:val="num" w:pos="2880"/>
        </w:tabs>
        <w:ind w:left="2880" w:hanging="360"/>
      </w:pPr>
      <w:rPr>
        <w:rFonts w:ascii="Arial" w:hAnsi="Arial" w:hint="default"/>
      </w:rPr>
    </w:lvl>
    <w:lvl w:ilvl="4" w:tplc="D26AB032" w:tentative="1">
      <w:start w:val="1"/>
      <w:numFmt w:val="bullet"/>
      <w:lvlText w:val="•"/>
      <w:lvlJc w:val="left"/>
      <w:pPr>
        <w:tabs>
          <w:tab w:val="num" w:pos="3600"/>
        </w:tabs>
        <w:ind w:left="3600" w:hanging="360"/>
      </w:pPr>
      <w:rPr>
        <w:rFonts w:ascii="Arial" w:hAnsi="Arial" w:hint="default"/>
      </w:rPr>
    </w:lvl>
    <w:lvl w:ilvl="5" w:tplc="11F43008" w:tentative="1">
      <w:start w:val="1"/>
      <w:numFmt w:val="bullet"/>
      <w:lvlText w:val="•"/>
      <w:lvlJc w:val="left"/>
      <w:pPr>
        <w:tabs>
          <w:tab w:val="num" w:pos="4320"/>
        </w:tabs>
        <w:ind w:left="4320" w:hanging="360"/>
      </w:pPr>
      <w:rPr>
        <w:rFonts w:ascii="Arial" w:hAnsi="Arial" w:hint="default"/>
      </w:rPr>
    </w:lvl>
    <w:lvl w:ilvl="6" w:tplc="F840643E" w:tentative="1">
      <w:start w:val="1"/>
      <w:numFmt w:val="bullet"/>
      <w:lvlText w:val="•"/>
      <w:lvlJc w:val="left"/>
      <w:pPr>
        <w:tabs>
          <w:tab w:val="num" w:pos="5040"/>
        </w:tabs>
        <w:ind w:left="5040" w:hanging="360"/>
      </w:pPr>
      <w:rPr>
        <w:rFonts w:ascii="Arial" w:hAnsi="Arial" w:hint="default"/>
      </w:rPr>
    </w:lvl>
    <w:lvl w:ilvl="7" w:tplc="3E581B8E" w:tentative="1">
      <w:start w:val="1"/>
      <w:numFmt w:val="bullet"/>
      <w:lvlText w:val="•"/>
      <w:lvlJc w:val="left"/>
      <w:pPr>
        <w:tabs>
          <w:tab w:val="num" w:pos="5760"/>
        </w:tabs>
        <w:ind w:left="5760" w:hanging="360"/>
      </w:pPr>
      <w:rPr>
        <w:rFonts w:ascii="Arial" w:hAnsi="Arial" w:hint="default"/>
      </w:rPr>
    </w:lvl>
    <w:lvl w:ilvl="8" w:tplc="8FE483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A4A3D"/>
    <w:multiLevelType w:val="hybridMultilevel"/>
    <w:tmpl w:val="98AA2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A6361B"/>
    <w:multiLevelType w:val="hybridMultilevel"/>
    <w:tmpl w:val="B846C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99C07A"/>
    <w:multiLevelType w:val="hybridMultilevel"/>
    <w:tmpl w:val="779E8B14"/>
    <w:lvl w:ilvl="0" w:tplc="ED0A34C4">
      <w:start w:val="1"/>
      <w:numFmt w:val="bullet"/>
      <w:lvlText w:val="·"/>
      <w:lvlJc w:val="left"/>
      <w:pPr>
        <w:ind w:left="720" w:hanging="360"/>
      </w:pPr>
      <w:rPr>
        <w:rFonts w:ascii="Symbol" w:hAnsi="Symbol" w:hint="default"/>
      </w:rPr>
    </w:lvl>
    <w:lvl w:ilvl="1" w:tplc="C1FEB818">
      <w:start w:val="1"/>
      <w:numFmt w:val="bullet"/>
      <w:lvlText w:val="o"/>
      <w:lvlJc w:val="left"/>
      <w:pPr>
        <w:ind w:left="1440" w:hanging="360"/>
      </w:pPr>
      <w:rPr>
        <w:rFonts w:ascii="Courier New" w:hAnsi="Courier New" w:hint="default"/>
      </w:rPr>
    </w:lvl>
    <w:lvl w:ilvl="2" w:tplc="1D78D780">
      <w:start w:val="1"/>
      <w:numFmt w:val="bullet"/>
      <w:lvlText w:val=""/>
      <w:lvlJc w:val="left"/>
      <w:pPr>
        <w:ind w:left="2160" w:hanging="360"/>
      </w:pPr>
      <w:rPr>
        <w:rFonts w:ascii="Wingdings" w:hAnsi="Wingdings" w:hint="default"/>
      </w:rPr>
    </w:lvl>
    <w:lvl w:ilvl="3" w:tplc="F482AABA">
      <w:start w:val="1"/>
      <w:numFmt w:val="bullet"/>
      <w:lvlText w:val=""/>
      <w:lvlJc w:val="left"/>
      <w:pPr>
        <w:ind w:left="2880" w:hanging="360"/>
      </w:pPr>
      <w:rPr>
        <w:rFonts w:ascii="Symbol" w:hAnsi="Symbol" w:hint="default"/>
      </w:rPr>
    </w:lvl>
    <w:lvl w:ilvl="4" w:tplc="1C92797C">
      <w:start w:val="1"/>
      <w:numFmt w:val="bullet"/>
      <w:lvlText w:val="o"/>
      <w:lvlJc w:val="left"/>
      <w:pPr>
        <w:ind w:left="3600" w:hanging="360"/>
      </w:pPr>
      <w:rPr>
        <w:rFonts w:ascii="Courier New" w:hAnsi="Courier New" w:hint="default"/>
      </w:rPr>
    </w:lvl>
    <w:lvl w:ilvl="5" w:tplc="006806DE">
      <w:start w:val="1"/>
      <w:numFmt w:val="bullet"/>
      <w:lvlText w:val=""/>
      <w:lvlJc w:val="left"/>
      <w:pPr>
        <w:ind w:left="4320" w:hanging="360"/>
      </w:pPr>
      <w:rPr>
        <w:rFonts w:ascii="Wingdings" w:hAnsi="Wingdings" w:hint="default"/>
      </w:rPr>
    </w:lvl>
    <w:lvl w:ilvl="6" w:tplc="E05250E6">
      <w:start w:val="1"/>
      <w:numFmt w:val="bullet"/>
      <w:lvlText w:val=""/>
      <w:lvlJc w:val="left"/>
      <w:pPr>
        <w:ind w:left="5040" w:hanging="360"/>
      </w:pPr>
      <w:rPr>
        <w:rFonts w:ascii="Symbol" w:hAnsi="Symbol" w:hint="default"/>
      </w:rPr>
    </w:lvl>
    <w:lvl w:ilvl="7" w:tplc="ED602CFC">
      <w:start w:val="1"/>
      <w:numFmt w:val="bullet"/>
      <w:lvlText w:val="o"/>
      <w:lvlJc w:val="left"/>
      <w:pPr>
        <w:ind w:left="5760" w:hanging="360"/>
      </w:pPr>
      <w:rPr>
        <w:rFonts w:ascii="Courier New" w:hAnsi="Courier New" w:hint="default"/>
      </w:rPr>
    </w:lvl>
    <w:lvl w:ilvl="8" w:tplc="2C9A68FA">
      <w:start w:val="1"/>
      <w:numFmt w:val="bullet"/>
      <w:lvlText w:val=""/>
      <w:lvlJc w:val="left"/>
      <w:pPr>
        <w:ind w:left="6480" w:hanging="360"/>
      </w:pPr>
      <w:rPr>
        <w:rFonts w:ascii="Wingdings" w:hAnsi="Wingdings" w:hint="default"/>
      </w:rPr>
    </w:lvl>
  </w:abstractNum>
  <w:abstractNum w:abstractNumId="14" w15:restartNumberingAfterBreak="0">
    <w:nsid w:val="69F4148E"/>
    <w:multiLevelType w:val="hybridMultilevel"/>
    <w:tmpl w:val="66D8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073143"/>
    <w:multiLevelType w:val="hybridMultilevel"/>
    <w:tmpl w:val="2DB04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8528959">
    <w:abstractNumId w:val="13"/>
  </w:num>
  <w:num w:numId="2" w16cid:durableId="1438676769">
    <w:abstractNumId w:val="11"/>
  </w:num>
  <w:num w:numId="3" w16cid:durableId="1262255256">
    <w:abstractNumId w:val="2"/>
  </w:num>
  <w:num w:numId="4" w16cid:durableId="1516993989">
    <w:abstractNumId w:val="6"/>
  </w:num>
  <w:num w:numId="5" w16cid:durableId="1428959376">
    <w:abstractNumId w:val="7"/>
  </w:num>
  <w:num w:numId="6" w16cid:durableId="525170507">
    <w:abstractNumId w:val="8"/>
  </w:num>
  <w:num w:numId="7" w16cid:durableId="362442327">
    <w:abstractNumId w:val="15"/>
  </w:num>
  <w:num w:numId="8" w16cid:durableId="56785112">
    <w:abstractNumId w:val="4"/>
  </w:num>
  <w:num w:numId="9" w16cid:durableId="2039623189">
    <w:abstractNumId w:val="1"/>
  </w:num>
  <w:num w:numId="10" w16cid:durableId="680595374">
    <w:abstractNumId w:val="5"/>
  </w:num>
  <w:num w:numId="11" w16cid:durableId="809833685">
    <w:abstractNumId w:val="12"/>
  </w:num>
  <w:num w:numId="12" w16cid:durableId="1785615753">
    <w:abstractNumId w:val="3"/>
  </w:num>
  <w:num w:numId="13" w16cid:durableId="611254444">
    <w:abstractNumId w:val="14"/>
  </w:num>
  <w:num w:numId="14" w16cid:durableId="578952894">
    <w:abstractNumId w:val="0"/>
  </w:num>
  <w:num w:numId="15" w16cid:durableId="470904825">
    <w:abstractNumId w:val="9"/>
  </w:num>
  <w:num w:numId="16" w16cid:durableId="1318418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81"/>
    <w:rsid w:val="000005E5"/>
    <w:rsid w:val="00014C31"/>
    <w:rsid w:val="00017F81"/>
    <w:rsid w:val="00032ABE"/>
    <w:rsid w:val="00053C72"/>
    <w:rsid w:val="000673E7"/>
    <w:rsid w:val="00074066"/>
    <w:rsid w:val="00090651"/>
    <w:rsid w:val="001111D3"/>
    <w:rsid w:val="001371DC"/>
    <w:rsid w:val="00155426"/>
    <w:rsid w:val="0015719E"/>
    <w:rsid w:val="00174C8F"/>
    <w:rsid w:val="00180665"/>
    <w:rsid w:val="0018593D"/>
    <w:rsid w:val="0019259E"/>
    <w:rsid w:val="001B2B8C"/>
    <w:rsid w:val="00200B42"/>
    <w:rsid w:val="002131FD"/>
    <w:rsid w:val="00214AA5"/>
    <w:rsid w:val="00220F71"/>
    <w:rsid w:val="00249918"/>
    <w:rsid w:val="002559B2"/>
    <w:rsid w:val="0025650B"/>
    <w:rsid w:val="00283787"/>
    <w:rsid w:val="00297B5E"/>
    <w:rsid w:val="002A442D"/>
    <w:rsid w:val="002B6805"/>
    <w:rsid w:val="002E3DAE"/>
    <w:rsid w:val="002F2139"/>
    <w:rsid w:val="0030078C"/>
    <w:rsid w:val="003162A6"/>
    <w:rsid w:val="00327E33"/>
    <w:rsid w:val="00333388"/>
    <w:rsid w:val="003440AF"/>
    <w:rsid w:val="0034640F"/>
    <w:rsid w:val="003750B8"/>
    <w:rsid w:val="00393BB5"/>
    <w:rsid w:val="003955A0"/>
    <w:rsid w:val="00397D06"/>
    <w:rsid w:val="003C1C40"/>
    <w:rsid w:val="003C5BED"/>
    <w:rsid w:val="003D2C43"/>
    <w:rsid w:val="003D2C69"/>
    <w:rsid w:val="003E0381"/>
    <w:rsid w:val="004056B7"/>
    <w:rsid w:val="00413CF7"/>
    <w:rsid w:val="004175CA"/>
    <w:rsid w:val="0044620E"/>
    <w:rsid w:val="00456CCF"/>
    <w:rsid w:val="00482901"/>
    <w:rsid w:val="00484725"/>
    <w:rsid w:val="00485AD2"/>
    <w:rsid w:val="00495B9C"/>
    <w:rsid w:val="004A1936"/>
    <w:rsid w:val="004B3700"/>
    <w:rsid w:val="004B78E1"/>
    <w:rsid w:val="004C1EBC"/>
    <w:rsid w:val="004D2FE6"/>
    <w:rsid w:val="004F5D82"/>
    <w:rsid w:val="0050500F"/>
    <w:rsid w:val="00546B96"/>
    <w:rsid w:val="005844EC"/>
    <w:rsid w:val="005861DD"/>
    <w:rsid w:val="00587C53"/>
    <w:rsid w:val="005911AB"/>
    <w:rsid w:val="005A2BA4"/>
    <w:rsid w:val="005A3E94"/>
    <w:rsid w:val="005B0DD3"/>
    <w:rsid w:val="005B2981"/>
    <w:rsid w:val="005C6068"/>
    <w:rsid w:val="005D7049"/>
    <w:rsid w:val="005E5827"/>
    <w:rsid w:val="005F5444"/>
    <w:rsid w:val="006079DD"/>
    <w:rsid w:val="006235FA"/>
    <w:rsid w:val="00640B1A"/>
    <w:rsid w:val="006417FC"/>
    <w:rsid w:val="006468E0"/>
    <w:rsid w:val="00651C96"/>
    <w:rsid w:val="0067024F"/>
    <w:rsid w:val="00681695"/>
    <w:rsid w:val="0068213E"/>
    <w:rsid w:val="00683A07"/>
    <w:rsid w:val="00687148"/>
    <w:rsid w:val="006A16A0"/>
    <w:rsid w:val="006A1F2A"/>
    <w:rsid w:val="006B6C82"/>
    <w:rsid w:val="006F771D"/>
    <w:rsid w:val="00721ECE"/>
    <w:rsid w:val="00757C6A"/>
    <w:rsid w:val="00766B5A"/>
    <w:rsid w:val="00771258"/>
    <w:rsid w:val="0079045C"/>
    <w:rsid w:val="00793EAC"/>
    <w:rsid w:val="00796818"/>
    <w:rsid w:val="007A5DDD"/>
    <w:rsid w:val="007A6569"/>
    <w:rsid w:val="007B00F3"/>
    <w:rsid w:val="007B27E8"/>
    <w:rsid w:val="007B5147"/>
    <w:rsid w:val="007C0283"/>
    <w:rsid w:val="007C2454"/>
    <w:rsid w:val="007C3B31"/>
    <w:rsid w:val="007E0255"/>
    <w:rsid w:val="007F2505"/>
    <w:rsid w:val="00822FEE"/>
    <w:rsid w:val="00824778"/>
    <w:rsid w:val="008247DF"/>
    <w:rsid w:val="0082781C"/>
    <w:rsid w:val="008351D5"/>
    <w:rsid w:val="00845F8A"/>
    <w:rsid w:val="0084780E"/>
    <w:rsid w:val="00864F60"/>
    <w:rsid w:val="00886CBD"/>
    <w:rsid w:val="00890B22"/>
    <w:rsid w:val="0089136F"/>
    <w:rsid w:val="008923AD"/>
    <w:rsid w:val="0089276A"/>
    <w:rsid w:val="008B0A80"/>
    <w:rsid w:val="008B133A"/>
    <w:rsid w:val="008C1435"/>
    <w:rsid w:val="008E2E20"/>
    <w:rsid w:val="008F2563"/>
    <w:rsid w:val="008F38E7"/>
    <w:rsid w:val="008F5F12"/>
    <w:rsid w:val="00904B78"/>
    <w:rsid w:val="00906F33"/>
    <w:rsid w:val="00911BFC"/>
    <w:rsid w:val="009220B2"/>
    <w:rsid w:val="0092338C"/>
    <w:rsid w:val="00934BBD"/>
    <w:rsid w:val="00947A45"/>
    <w:rsid w:val="0095211E"/>
    <w:rsid w:val="00987296"/>
    <w:rsid w:val="009872B3"/>
    <w:rsid w:val="009A5BCB"/>
    <w:rsid w:val="009B5107"/>
    <w:rsid w:val="009B5431"/>
    <w:rsid w:val="009C139B"/>
    <w:rsid w:val="009F26F6"/>
    <w:rsid w:val="00A11A49"/>
    <w:rsid w:val="00A1544E"/>
    <w:rsid w:val="00A21E11"/>
    <w:rsid w:val="00A235C3"/>
    <w:rsid w:val="00A25BE8"/>
    <w:rsid w:val="00A76034"/>
    <w:rsid w:val="00A86E32"/>
    <w:rsid w:val="00A9096A"/>
    <w:rsid w:val="00AA0697"/>
    <w:rsid w:val="00AB4602"/>
    <w:rsid w:val="00AF2FC7"/>
    <w:rsid w:val="00AF678B"/>
    <w:rsid w:val="00B013DD"/>
    <w:rsid w:val="00B20D32"/>
    <w:rsid w:val="00B41988"/>
    <w:rsid w:val="00B67FB8"/>
    <w:rsid w:val="00B762BB"/>
    <w:rsid w:val="00B90A6D"/>
    <w:rsid w:val="00B93EC2"/>
    <w:rsid w:val="00BA63C2"/>
    <w:rsid w:val="00BA7217"/>
    <w:rsid w:val="00BC7BF7"/>
    <w:rsid w:val="00BD5DA3"/>
    <w:rsid w:val="00BD7416"/>
    <w:rsid w:val="00BE24AF"/>
    <w:rsid w:val="00BE55AF"/>
    <w:rsid w:val="00BE71E3"/>
    <w:rsid w:val="00C2442F"/>
    <w:rsid w:val="00C45D72"/>
    <w:rsid w:val="00C51C70"/>
    <w:rsid w:val="00C55F58"/>
    <w:rsid w:val="00C60DF2"/>
    <w:rsid w:val="00C6349F"/>
    <w:rsid w:val="00C65902"/>
    <w:rsid w:val="00C72EAD"/>
    <w:rsid w:val="00C8354A"/>
    <w:rsid w:val="00C879D4"/>
    <w:rsid w:val="00C94CCF"/>
    <w:rsid w:val="00C97617"/>
    <w:rsid w:val="00C97CE9"/>
    <w:rsid w:val="00CC7EFD"/>
    <w:rsid w:val="00CE4B5C"/>
    <w:rsid w:val="00CF63F9"/>
    <w:rsid w:val="00D053EA"/>
    <w:rsid w:val="00D22A7D"/>
    <w:rsid w:val="00D236DB"/>
    <w:rsid w:val="00D5581C"/>
    <w:rsid w:val="00DC04C3"/>
    <w:rsid w:val="00DD2CC1"/>
    <w:rsid w:val="00DE46BC"/>
    <w:rsid w:val="00DF1326"/>
    <w:rsid w:val="00DF2E27"/>
    <w:rsid w:val="00DF7C77"/>
    <w:rsid w:val="00E16AFE"/>
    <w:rsid w:val="00E27D0F"/>
    <w:rsid w:val="00E6196B"/>
    <w:rsid w:val="00E77CA6"/>
    <w:rsid w:val="00E92F70"/>
    <w:rsid w:val="00E972E9"/>
    <w:rsid w:val="00EA0E6C"/>
    <w:rsid w:val="00F01E7F"/>
    <w:rsid w:val="00F03996"/>
    <w:rsid w:val="00F158FA"/>
    <w:rsid w:val="00F17058"/>
    <w:rsid w:val="00F22E7C"/>
    <w:rsid w:val="00F60E07"/>
    <w:rsid w:val="00F96DAC"/>
    <w:rsid w:val="00F97DB9"/>
    <w:rsid w:val="00FB145A"/>
    <w:rsid w:val="00FC19E9"/>
    <w:rsid w:val="00FC51CC"/>
    <w:rsid w:val="00FD5F0C"/>
    <w:rsid w:val="00FD7D7E"/>
    <w:rsid w:val="00FF4872"/>
    <w:rsid w:val="106098FF"/>
    <w:rsid w:val="263341CD"/>
    <w:rsid w:val="287093D7"/>
    <w:rsid w:val="2A1ADD83"/>
    <w:rsid w:val="2AA5C5A8"/>
    <w:rsid w:val="2BA9A0DC"/>
    <w:rsid w:val="305D6553"/>
    <w:rsid w:val="3217761D"/>
    <w:rsid w:val="33D88610"/>
    <w:rsid w:val="34950451"/>
    <w:rsid w:val="34AE2CAE"/>
    <w:rsid w:val="3EFDE6AB"/>
    <w:rsid w:val="40CB79EB"/>
    <w:rsid w:val="4750EA3E"/>
    <w:rsid w:val="47CDAF82"/>
    <w:rsid w:val="4AA8DF5A"/>
    <w:rsid w:val="4B225725"/>
    <w:rsid w:val="4CA1CD63"/>
    <w:rsid w:val="519198A9"/>
    <w:rsid w:val="52764AD9"/>
    <w:rsid w:val="54FE8DA4"/>
    <w:rsid w:val="568F11F6"/>
    <w:rsid w:val="599CB510"/>
    <w:rsid w:val="5CCD2813"/>
    <w:rsid w:val="60368BB4"/>
    <w:rsid w:val="6136322E"/>
    <w:rsid w:val="615013A6"/>
    <w:rsid w:val="665AE1FC"/>
    <w:rsid w:val="68F1988D"/>
    <w:rsid w:val="6F60DA11"/>
    <w:rsid w:val="7752C399"/>
    <w:rsid w:val="7A52B8AC"/>
    <w:rsid w:val="7A90A18E"/>
    <w:rsid w:val="7A91BA69"/>
    <w:rsid w:val="7D35559D"/>
    <w:rsid w:val="7EB5C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3CFA"/>
  <w15:chartTrackingRefBased/>
  <w15:docId w15:val="{65EE8466-50E8-498F-B510-EFB60A7B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695"/>
    <w:pPr>
      <w:jc w:val="both"/>
    </w:pPr>
  </w:style>
  <w:style w:type="paragraph" w:styleId="Heading1">
    <w:name w:val="heading 1"/>
    <w:basedOn w:val="Normal"/>
    <w:next w:val="Normal"/>
    <w:link w:val="Heading1Char"/>
    <w:uiPriority w:val="9"/>
    <w:qFormat/>
    <w:rsid w:val="006A16A0"/>
    <w:pPr>
      <w:keepNext/>
      <w:keepLines/>
      <w:pBdr>
        <w:bottom w:val="single" w:sz="18" w:space="1" w:color="002060"/>
      </w:pBdr>
      <w:spacing w:before="240" w:after="0"/>
      <w:outlineLvl w:val="0"/>
    </w:pPr>
    <w:rPr>
      <w:rFonts w:asciiTheme="majorHAnsi" w:eastAsiaTheme="majorEastAsia" w:hAnsiTheme="majorHAnsi" w:cstheme="majorBidi"/>
      <w:b/>
      <w:color w:val="002060"/>
      <w:sz w:val="32"/>
      <w:szCs w:val="32"/>
    </w:rPr>
  </w:style>
  <w:style w:type="paragraph" w:styleId="Heading2">
    <w:name w:val="heading 2"/>
    <w:basedOn w:val="Normal"/>
    <w:next w:val="Normal"/>
    <w:link w:val="Heading2Char"/>
    <w:uiPriority w:val="9"/>
    <w:unhideWhenUsed/>
    <w:qFormat/>
    <w:rsid w:val="006A16A0"/>
    <w:pPr>
      <w:keepNext/>
      <w:keepLines/>
      <w:pBdr>
        <w:bottom w:val="single" w:sz="8" w:space="1" w:color="002060"/>
      </w:pBdr>
      <w:spacing w:before="40" w:after="0"/>
      <w:outlineLvl w:val="1"/>
    </w:pPr>
    <w:rPr>
      <w:rFonts w:asciiTheme="majorHAnsi" w:eastAsiaTheme="majorEastAsia" w:hAnsiTheme="majorHAnsi" w:cstheme="majorBidi"/>
      <w:b/>
      <w:color w:val="00206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81"/>
  </w:style>
  <w:style w:type="paragraph" w:styleId="Footer">
    <w:name w:val="footer"/>
    <w:basedOn w:val="Normal"/>
    <w:link w:val="FooterChar"/>
    <w:uiPriority w:val="99"/>
    <w:unhideWhenUsed/>
    <w:rsid w:val="003E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81"/>
  </w:style>
  <w:style w:type="character" w:customStyle="1" w:styleId="Heading1Char">
    <w:name w:val="Heading 1 Char"/>
    <w:basedOn w:val="DefaultParagraphFont"/>
    <w:link w:val="Heading1"/>
    <w:uiPriority w:val="9"/>
    <w:rsid w:val="006A16A0"/>
    <w:rPr>
      <w:rFonts w:asciiTheme="majorHAnsi" w:eastAsiaTheme="majorEastAsia" w:hAnsiTheme="majorHAnsi" w:cstheme="majorBidi"/>
      <w:b/>
      <w:color w:val="002060"/>
      <w:sz w:val="32"/>
      <w:szCs w:val="32"/>
    </w:rPr>
  </w:style>
  <w:style w:type="character" w:customStyle="1" w:styleId="Heading2Char">
    <w:name w:val="Heading 2 Char"/>
    <w:basedOn w:val="DefaultParagraphFont"/>
    <w:link w:val="Heading2"/>
    <w:uiPriority w:val="9"/>
    <w:rsid w:val="006A16A0"/>
    <w:rPr>
      <w:rFonts w:asciiTheme="majorHAnsi" w:eastAsiaTheme="majorEastAsia" w:hAnsiTheme="majorHAnsi" w:cstheme="majorBidi"/>
      <w:b/>
      <w:color w:val="002060"/>
      <w:sz w:val="26"/>
      <w:szCs w:val="26"/>
    </w:rPr>
  </w:style>
  <w:style w:type="paragraph" w:styleId="ListParagraph">
    <w:name w:val="List Paragraph"/>
    <w:basedOn w:val="Normal"/>
    <w:uiPriority w:val="34"/>
    <w:qFormat/>
    <w:rsid w:val="00DD2CC1"/>
    <w:pPr>
      <w:ind w:left="720"/>
      <w:contextualSpacing/>
    </w:pPr>
  </w:style>
  <w:style w:type="paragraph" w:styleId="NormalWeb">
    <w:name w:val="Normal (Web)"/>
    <w:basedOn w:val="Normal"/>
    <w:uiPriority w:val="99"/>
    <w:semiHidden/>
    <w:unhideWhenUsed/>
    <w:rsid w:val="008C143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7C77"/>
    <w:rPr>
      <w:color w:val="0563C1" w:themeColor="hyperlink"/>
      <w:u w:val="single"/>
    </w:rPr>
  </w:style>
  <w:style w:type="character" w:styleId="UnresolvedMention">
    <w:name w:val="Unresolved Mention"/>
    <w:basedOn w:val="DefaultParagraphFont"/>
    <w:uiPriority w:val="99"/>
    <w:semiHidden/>
    <w:unhideWhenUsed/>
    <w:rsid w:val="00DF7C77"/>
    <w:rPr>
      <w:color w:val="605E5C"/>
      <w:shd w:val="clear" w:color="auto" w:fill="E1DFDD"/>
    </w:rPr>
  </w:style>
  <w:style w:type="character" w:styleId="CommentReference">
    <w:name w:val="annotation reference"/>
    <w:basedOn w:val="DefaultParagraphFont"/>
    <w:uiPriority w:val="99"/>
    <w:semiHidden/>
    <w:unhideWhenUsed/>
    <w:rsid w:val="00651C96"/>
    <w:rPr>
      <w:sz w:val="16"/>
      <w:szCs w:val="16"/>
    </w:rPr>
  </w:style>
  <w:style w:type="paragraph" w:styleId="CommentText">
    <w:name w:val="annotation text"/>
    <w:basedOn w:val="Normal"/>
    <w:link w:val="CommentTextChar"/>
    <w:uiPriority w:val="99"/>
    <w:unhideWhenUsed/>
    <w:rsid w:val="00651C96"/>
    <w:pPr>
      <w:spacing w:line="240" w:lineRule="auto"/>
    </w:pPr>
    <w:rPr>
      <w:sz w:val="20"/>
      <w:szCs w:val="20"/>
    </w:rPr>
  </w:style>
  <w:style w:type="character" w:customStyle="1" w:styleId="CommentTextChar">
    <w:name w:val="Comment Text Char"/>
    <w:basedOn w:val="DefaultParagraphFont"/>
    <w:link w:val="CommentText"/>
    <w:uiPriority w:val="99"/>
    <w:rsid w:val="00651C96"/>
    <w:rPr>
      <w:sz w:val="20"/>
      <w:szCs w:val="20"/>
    </w:rPr>
  </w:style>
  <w:style w:type="paragraph" w:styleId="CommentSubject">
    <w:name w:val="annotation subject"/>
    <w:basedOn w:val="CommentText"/>
    <w:next w:val="CommentText"/>
    <w:link w:val="CommentSubjectChar"/>
    <w:uiPriority w:val="99"/>
    <w:semiHidden/>
    <w:unhideWhenUsed/>
    <w:rsid w:val="00651C96"/>
    <w:rPr>
      <w:b/>
      <w:bCs/>
    </w:rPr>
  </w:style>
  <w:style w:type="character" w:customStyle="1" w:styleId="CommentSubjectChar">
    <w:name w:val="Comment Subject Char"/>
    <w:basedOn w:val="CommentTextChar"/>
    <w:link w:val="CommentSubject"/>
    <w:uiPriority w:val="99"/>
    <w:semiHidden/>
    <w:rsid w:val="00651C96"/>
    <w:rPr>
      <w:b/>
      <w:bCs/>
      <w:sz w:val="20"/>
      <w:szCs w:val="20"/>
    </w:rPr>
  </w:style>
  <w:style w:type="character" w:styleId="IntenseEmphasis">
    <w:name w:val="Intense Emphasis"/>
    <w:basedOn w:val="DefaultParagraphFont"/>
    <w:uiPriority w:val="21"/>
    <w:qFormat/>
    <w:rsid w:val="009220B2"/>
    <w:rPr>
      <w:i/>
      <w:iCs/>
      <w:color w:val="002060"/>
    </w:rPr>
  </w:style>
  <w:style w:type="table" w:styleId="TableGrid">
    <w:name w:val="Table Grid"/>
    <w:basedOn w:val="TableNormal"/>
    <w:uiPriority w:val="39"/>
    <w:rsid w:val="0054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7D0F"/>
    <w:pPr>
      <w:spacing w:after="0" w:line="240" w:lineRule="auto"/>
      <w:jc w:val="both"/>
    </w:pPr>
  </w:style>
  <w:style w:type="paragraph" w:styleId="Revision">
    <w:name w:val="Revision"/>
    <w:hidden/>
    <w:uiPriority w:val="99"/>
    <w:semiHidden/>
    <w:rsid w:val="003D2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4998">
      <w:bodyDiv w:val="1"/>
      <w:marLeft w:val="0"/>
      <w:marRight w:val="0"/>
      <w:marTop w:val="0"/>
      <w:marBottom w:val="0"/>
      <w:divBdr>
        <w:top w:val="none" w:sz="0" w:space="0" w:color="auto"/>
        <w:left w:val="none" w:sz="0" w:space="0" w:color="auto"/>
        <w:bottom w:val="none" w:sz="0" w:space="0" w:color="auto"/>
        <w:right w:val="none" w:sz="0" w:space="0" w:color="auto"/>
      </w:divBdr>
    </w:div>
    <w:div w:id="323245218">
      <w:bodyDiv w:val="1"/>
      <w:marLeft w:val="0"/>
      <w:marRight w:val="0"/>
      <w:marTop w:val="0"/>
      <w:marBottom w:val="0"/>
      <w:divBdr>
        <w:top w:val="none" w:sz="0" w:space="0" w:color="auto"/>
        <w:left w:val="none" w:sz="0" w:space="0" w:color="auto"/>
        <w:bottom w:val="none" w:sz="0" w:space="0" w:color="auto"/>
        <w:right w:val="none" w:sz="0" w:space="0" w:color="auto"/>
      </w:divBdr>
    </w:div>
    <w:div w:id="343091238">
      <w:bodyDiv w:val="1"/>
      <w:marLeft w:val="0"/>
      <w:marRight w:val="0"/>
      <w:marTop w:val="0"/>
      <w:marBottom w:val="0"/>
      <w:divBdr>
        <w:top w:val="none" w:sz="0" w:space="0" w:color="auto"/>
        <w:left w:val="none" w:sz="0" w:space="0" w:color="auto"/>
        <w:bottom w:val="none" w:sz="0" w:space="0" w:color="auto"/>
        <w:right w:val="none" w:sz="0" w:space="0" w:color="auto"/>
      </w:divBdr>
      <w:divsChild>
        <w:div w:id="867371507">
          <w:marLeft w:val="360"/>
          <w:marRight w:val="0"/>
          <w:marTop w:val="200"/>
          <w:marBottom w:val="0"/>
          <w:divBdr>
            <w:top w:val="none" w:sz="0" w:space="0" w:color="auto"/>
            <w:left w:val="none" w:sz="0" w:space="0" w:color="auto"/>
            <w:bottom w:val="none" w:sz="0" w:space="0" w:color="auto"/>
            <w:right w:val="none" w:sz="0" w:space="0" w:color="auto"/>
          </w:divBdr>
        </w:div>
        <w:div w:id="956569834">
          <w:marLeft w:val="360"/>
          <w:marRight w:val="0"/>
          <w:marTop w:val="200"/>
          <w:marBottom w:val="0"/>
          <w:divBdr>
            <w:top w:val="none" w:sz="0" w:space="0" w:color="auto"/>
            <w:left w:val="none" w:sz="0" w:space="0" w:color="auto"/>
            <w:bottom w:val="none" w:sz="0" w:space="0" w:color="auto"/>
            <w:right w:val="none" w:sz="0" w:space="0" w:color="auto"/>
          </w:divBdr>
        </w:div>
        <w:div w:id="958145973">
          <w:marLeft w:val="360"/>
          <w:marRight w:val="0"/>
          <w:marTop w:val="200"/>
          <w:marBottom w:val="0"/>
          <w:divBdr>
            <w:top w:val="none" w:sz="0" w:space="0" w:color="auto"/>
            <w:left w:val="none" w:sz="0" w:space="0" w:color="auto"/>
            <w:bottom w:val="none" w:sz="0" w:space="0" w:color="auto"/>
            <w:right w:val="none" w:sz="0" w:space="0" w:color="auto"/>
          </w:divBdr>
        </w:div>
      </w:divsChild>
    </w:div>
    <w:div w:id="516430880">
      <w:bodyDiv w:val="1"/>
      <w:marLeft w:val="0"/>
      <w:marRight w:val="0"/>
      <w:marTop w:val="0"/>
      <w:marBottom w:val="0"/>
      <w:divBdr>
        <w:top w:val="none" w:sz="0" w:space="0" w:color="auto"/>
        <w:left w:val="none" w:sz="0" w:space="0" w:color="auto"/>
        <w:bottom w:val="none" w:sz="0" w:space="0" w:color="auto"/>
        <w:right w:val="none" w:sz="0" w:space="0" w:color="auto"/>
      </w:divBdr>
      <w:divsChild>
        <w:div w:id="1386686092">
          <w:marLeft w:val="547"/>
          <w:marRight w:val="0"/>
          <w:marTop w:val="0"/>
          <w:marBottom w:val="0"/>
          <w:divBdr>
            <w:top w:val="none" w:sz="0" w:space="0" w:color="auto"/>
            <w:left w:val="none" w:sz="0" w:space="0" w:color="auto"/>
            <w:bottom w:val="none" w:sz="0" w:space="0" w:color="auto"/>
            <w:right w:val="none" w:sz="0" w:space="0" w:color="auto"/>
          </w:divBdr>
        </w:div>
        <w:div w:id="708335466">
          <w:marLeft w:val="446"/>
          <w:marRight w:val="0"/>
          <w:marTop w:val="0"/>
          <w:marBottom w:val="0"/>
          <w:divBdr>
            <w:top w:val="none" w:sz="0" w:space="0" w:color="auto"/>
            <w:left w:val="none" w:sz="0" w:space="0" w:color="auto"/>
            <w:bottom w:val="none" w:sz="0" w:space="0" w:color="auto"/>
            <w:right w:val="none" w:sz="0" w:space="0" w:color="auto"/>
          </w:divBdr>
        </w:div>
      </w:divsChild>
    </w:div>
    <w:div w:id="624702653">
      <w:bodyDiv w:val="1"/>
      <w:marLeft w:val="0"/>
      <w:marRight w:val="0"/>
      <w:marTop w:val="0"/>
      <w:marBottom w:val="0"/>
      <w:divBdr>
        <w:top w:val="none" w:sz="0" w:space="0" w:color="auto"/>
        <w:left w:val="none" w:sz="0" w:space="0" w:color="auto"/>
        <w:bottom w:val="none" w:sz="0" w:space="0" w:color="auto"/>
        <w:right w:val="none" w:sz="0" w:space="0" w:color="auto"/>
      </w:divBdr>
    </w:div>
    <w:div w:id="658123007">
      <w:bodyDiv w:val="1"/>
      <w:marLeft w:val="0"/>
      <w:marRight w:val="0"/>
      <w:marTop w:val="0"/>
      <w:marBottom w:val="0"/>
      <w:divBdr>
        <w:top w:val="none" w:sz="0" w:space="0" w:color="auto"/>
        <w:left w:val="none" w:sz="0" w:space="0" w:color="auto"/>
        <w:bottom w:val="none" w:sz="0" w:space="0" w:color="auto"/>
        <w:right w:val="none" w:sz="0" w:space="0" w:color="auto"/>
      </w:divBdr>
    </w:div>
    <w:div w:id="828210496">
      <w:bodyDiv w:val="1"/>
      <w:marLeft w:val="0"/>
      <w:marRight w:val="0"/>
      <w:marTop w:val="0"/>
      <w:marBottom w:val="0"/>
      <w:divBdr>
        <w:top w:val="none" w:sz="0" w:space="0" w:color="auto"/>
        <w:left w:val="none" w:sz="0" w:space="0" w:color="auto"/>
        <w:bottom w:val="none" w:sz="0" w:space="0" w:color="auto"/>
        <w:right w:val="none" w:sz="0" w:space="0" w:color="auto"/>
      </w:divBdr>
      <w:divsChild>
        <w:div w:id="1366639942">
          <w:marLeft w:val="547"/>
          <w:marRight w:val="0"/>
          <w:marTop w:val="200"/>
          <w:marBottom w:val="0"/>
          <w:divBdr>
            <w:top w:val="none" w:sz="0" w:space="0" w:color="auto"/>
            <w:left w:val="none" w:sz="0" w:space="0" w:color="auto"/>
            <w:bottom w:val="none" w:sz="0" w:space="0" w:color="auto"/>
            <w:right w:val="none" w:sz="0" w:space="0" w:color="auto"/>
          </w:divBdr>
        </w:div>
      </w:divsChild>
    </w:div>
    <w:div w:id="915893764">
      <w:bodyDiv w:val="1"/>
      <w:marLeft w:val="0"/>
      <w:marRight w:val="0"/>
      <w:marTop w:val="0"/>
      <w:marBottom w:val="0"/>
      <w:divBdr>
        <w:top w:val="none" w:sz="0" w:space="0" w:color="auto"/>
        <w:left w:val="none" w:sz="0" w:space="0" w:color="auto"/>
        <w:bottom w:val="none" w:sz="0" w:space="0" w:color="auto"/>
        <w:right w:val="none" w:sz="0" w:space="0" w:color="auto"/>
      </w:divBdr>
      <w:divsChild>
        <w:div w:id="143160550">
          <w:marLeft w:val="1440"/>
          <w:marRight w:val="0"/>
          <w:marTop w:val="0"/>
          <w:marBottom w:val="120"/>
          <w:divBdr>
            <w:top w:val="none" w:sz="0" w:space="0" w:color="auto"/>
            <w:left w:val="none" w:sz="0" w:space="0" w:color="auto"/>
            <w:bottom w:val="none" w:sz="0" w:space="0" w:color="auto"/>
            <w:right w:val="none" w:sz="0" w:space="0" w:color="auto"/>
          </w:divBdr>
        </w:div>
      </w:divsChild>
    </w:div>
    <w:div w:id="1011689357">
      <w:bodyDiv w:val="1"/>
      <w:marLeft w:val="0"/>
      <w:marRight w:val="0"/>
      <w:marTop w:val="0"/>
      <w:marBottom w:val="0"/>
      <w:divBdr>
        <w:top w:val="none" w:sz="0" w:space="0" w:color="auto"/>
        <w:left w:val="none" w:sz="0" w:space="0" w:color="auto"/>
        <w:bottom w:val="none" w:sz="0" w:space="0" w:color="auto"/>
        <w:right w:val="none" w:sz="0" w:space="0" w:color="auto"/>
      </w:divBdr>
      <w:divsChild>
        <w:div w:id="1806659250">
          <w:marLeft w:val="446"/>
          <w:marRight w:val="0"/>
          <w:marTop w:val="0"/>
          <w:marBottom w:val="120"/>
          <w:divBdr>
            <w:top w:val="none" w:sz="0" w:space="0" w:color="auto"/>
            <w:left w:val="none" w:sz="0" w:space="0" w:color="auto"/>
            <w:bottom w:val="none" w:sz="0" w:space="0" w:color="auto"/>
            <w:right w:val="none" w:sz="0" w:space="0" w:color="auto"/>
          </w:divBdr>
        </w:div>
        <w:div w:id="547913170">
          <w:marLeft w:val="446"/>
          <w:marRight w:val="0"/>
          <w:marTop w:val="0"/>
          <w:marBottom w:val="120"/>
          <w:divBdr>
            <w:top w:val="none" w:sz="0" w:space="0" w:color="auto"/>
            <w:left w:val="none" w:sz="0" w:space="0" w:color="auto"/>
            <w:bottom w:val="none" w:sz="0" w:space="0" w:color="auto"/>
            <w:right w:val="none" w:sz="0" w:space="0" w:color="auto"/>
          </w:divBdr>
        </w:div>
        <w:div w:id="883254324">
          <w:marLeft w:val="446"/>
          <w:marRight w:val="0"/>
          <w:marTop w:val="0"/>
          <w:marBottom w:val="120"/>
          <w:divBdr>
            <w:top w:val="none" w:sz="0" w:space="0" w:color="auto"/>
            <w:left w:val="none" w:sz="0" w:space="0" w:color="auto"/>
            <w:bottom w:val="none" w:sz="0" w:space="0" w:color="auto"/>
            <w:right w:val="none" w:sz="0" w:space="0" w:color="auto"/>
          </w:divBdr>
        </w:div>
      </w:divsChild>
    </w:div>
    <w:div w:id="1316883499">
      <w:bodyDiv w:val="1"/>
      <w:marLeft w:val="0"/>
      <w:marRight w:val="0"/>
      <w:marTop w:val="0"/>
      <w:marBottom w:val="0"/>
      <w:divBdr>
        <w:top w:val="none" w:sz="0" w:space="0" w:color="auto"/>
        <w:left w:val="none" w:sz="0" w:space="0" w:color="auto"/>
        <w:bottom w:val="none" w:sz="0" w:space="0" w:color="auto"/>
        <w:right w:val="none" w:sz="0" w:space="0" w:color="auto"/>
      </w:divBdr>
      <w:divsChild>
        <w:div w:id="565992366">
          <w:marLeft w:val="1440"/>
          <w:marRight w:val="0"/>
          <w:marTop w:val="0"/>
          <w:marBottom w:val="120"/>
          <w:divBdr>
            <w:top w:val="none" w:sz="0" w:space="0" w:color="auto"/>
            <w:left w:val="none" w:sz="0" w:space="0" w:color="auto"/>
            <w:bottom w:val="none" w:sz="0" w:space="0" w:color="auto"/>
            <w:right w:val="none" w:sz="0" w:space="0" w:color="auto"/>
          </w:divBdr>
        </w:div>
        <w:div w:id="566233642">
          <w:marLeft w:val="1440"/>
          <w:marRight w:val="0"/>
          <w:marTop w:val="0"/>
          <w:marBottom w:val="120"/>
          <w:divBdr>
            <w:top w:val="none" w:sz="0" w:space="0" w:color="auto"/>
            <w:left w:val="none" w:sz="0" w:space="0" w:color="auto"/>
            <w:bottom w:val="none" w:sz="0" w:space="0" w:color="auto"/>
            <w:right w:val="none" w:sz="0" w:space="0" w:color="auto"/>
          </w:divBdr>
        </w:div>
        <w:div w:id="304822581">
          <w:marLeft w:val="1440"/>
          <w:marRight w:val="0"/>
          <w:marTop w:val="0"/>
          <w:marBottom w:val="120"/>
          <w:divBdr>
            <w:top w:val="none" w:sz="0" w:space="0" w:color="auto"/>
            <w:left w:val="none" w:sz="0" w:space="0" w:color="auto"/>
            <w:bottom w:val="none" w:sz="0" w:space="0" w:color="auto"/>
            <w:right w:val="none" w:sz="0" w:space="0" w:color="auto"/>
          </w:divBdr>
        </w:div>
      </w:divsChild>
    </w:div>
    <w:div w:id="1766875889">
      <w:bodyDiv w:val="1"/>
      <w:marLeft w:val="0"/>
      <w:marRight w:val="0"/>
      <w:marTop w:val="0"/>
      <w:marBottom w:val="0"/>
      <w:divBdr>
        <w:top w:val="none" w:sz="0" w:space="0" w:color="auto"/>
        <w:left w:val="none" w:sz="0" w:space="0" w:color="auto"/>
        <w:bottom w:val="none" w:sz="0" w:space="0" w:color="auto"/>
        <w:right w:val="none" w:sz="0" w:space="0" w:color="auto"/>
      </w:divBdr>
      <w:divsChild>
        <w:div w:id="1830631627">
          <w:marLeft w:val="274"/>
          <w:marRight w:val="0"/>
          <w:marTop w:val="0"/>
          <w:marBottom w:val="0"/>
          <w:divBdr>
            <w:top w:val="none" w:sz="0" w:space="0" w:color="auto"/>
            <w:left w:val="none" w:sz="0" w:space="0" w:color="auto"/>
            <w:bottom w:val="none" w:sz="0" w:space="0" w:color="auto"/>
            <w:right w:val="none" w:sz="0" w:space="0" w:color="auto"/>
          </w:divBdr>
        </w:div>
        <w:div w:id="797453132">
          <w:marLeft w:val="1714"/>
          <w:marRight w:val="0"/>
          <w:marTop w:val="0"/>
          <w:marBottom w:val="0"/>
          <w:divBdr>
            <w:top w:val="none" w:sz="0" w:space="0" w:color="auto"/>
            <w:left w:val="none" w:sz="0" w:space="0" w:color="auto"/>
            <w:bottom w:val="none" w:sz="0" w:space="0" w:color="auto"/>
            <w:right w:val="none" w:sz="0" w:space="0" w:color="auto"/>
          </w:divBdr>
        </w:div>
        <w:div w:id="1920946785">
          <w:marLeft w:val="1714"/>
          <w:marRight w:val="0"/>
          <w:marTop w:val="0"/>
          <w:marBottom w:val="0"/>
          <w:divBdr>
            <w:top w:val="none" w:sz="0" w:space="0" w:color="auto"/>
            <w:left w:val="none" w:sz="0" w:space="0" w:color="auto"/>
            <w:bottom w:val="none" w:sz="0" w:space="0" w:color="auto"/>
            <w:right w:val="none" w:sz="0" w:space="0" w:color="auto"/>
          </w:divBdr>
        </w:div>
        <w:div w:id="1243643048">
          <w:marLeft w:val="1714"/>
          <w:marRight w:val="0"/>
          <w:marTop w:val="0"/>
          <w:marBottom w:val="0"/>
          <w:divBdr>
            <w:top w:val="none" w:sz="0" w:space="0" w:color="auto"/>
            <w:left w:val="none" w:sz="0" w:space="0" w:color="auto"/>
            <w:bottom w:val="none" w:sz="0" w:space="0" w:color="auto"/>
            <w:right w:val="none" w:sz="0" w:space="0" w:color="auto"/>
          </w:divBdr>
        </w:div>
        <w:div w:id="1953441310">
          <w:marLeft w:val="274"/>
          <w:marRight w:val="0"/>
          <w:marTop w:val="0"/>
          <w:marBottom w:val="0"/>
          <w:divBdr>
            <w:top w:val="none" w:sz="0" w:space="0" w:color="auto"/>
            <w:left w:val="none" w:sz="0" w:space="0" w:color="auto"/>
            <w:bottom w:val="none" w:sz="0" w:space="0" w:color="auto"/>
            <w:right w:val="none" w:sz="0" w:space="0" w:color="auto"/>
          </w:divBdr>
        </w:div>
      </w:divsChild>
    </w:div>
    <w:div w:id="1809931840">
      <w:bodyDiv w:val="1"/>
      <w:marLeft w:val="0"/>
      <w:marRight w:val="0"/>
      <w:marTop w:val="0"/>
      <w:marBottom w:val="0"/>
      <w:divBdr>
        <w:top w:val="none" w:sz="0" w:space="0" w:color="auto"/>
        <w:left w:val="none" w:sz="0" w:space="0" w:color="auto"/>
        <w:bottom w:val="none" w:sz="0" w:space="0" w:color="auto"/>
        <w:right w:val="none" w:sz="0" w:space="0" w:color="auto"/>
      </w:divBdr>
      <w:divsChild>
        <w:div w:id="28534928">
          <w:marLeft w:val="547"/>
          <w:marRight w:val="0"/>
          <w:marTop w:val="0"/>
          <w:marBottom w:val="0"/>
          <w:divBdr>
            <w:top w:val="none" w:sz="0" w:space="0" w:color="auto"/>
            <w:left w:val="none" w:sz="0" w:space="0" w:color="auto"/>
            <w:bottom w:val="none" w:sz="0" w:space="0" w:color="auto"/>
            <w:right w:val="none" w:sz="0" w:space="0" w:color="auto"/>
          </w:divBdr>
        </w:div>
        <w:div w:id="702822308">
          <w:marLeft w:val="547"/>
          <w:marRight w:val="0"/>
          <w:marTop w:val="0"/>
          <w:marBottom w:val="0"/>
          <w:divBdr>
            <w:top w:val="none" w:sz="0" w:space="0" w:color="auto"/>
            <w:left w:val="none" w:sz="0" w:space="0" w:color="auto"/>
            <w:bottom w:val="none" w:sz="0" w:space="0" w:color="auto"/>
            <w:right w:val="none" w:sz="0" w:space="0" w:color="auto"/>
          </w:divBdr>
        </w:div>
        <w:div w:id="875795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ws1gatewa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LUHC.EWS1PII@communiti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04133280744395970A5316A9D518" ma:contentTypeVersion="12" ma:contentTypeDescription="Create a new document." ma:contentTypeScope="" ma:versionID="ac64e00cf50e7767abd1e0739b92a7db">
  <xsd:schema xmlns:xsd="http://www.w3.org/2001/XMLSchema" xmlns:xs="http://www.w3.org/2001/XMLSchema" xmlns:p="http://schemas.microsoft.com/office/2006/metadata/properties" xmlns:ns2="9b50d66d-1c3c-4c13-903c-83b0ecf34333" xmlns:ns3="4d08ecf2-a2f4-470c-a814-6c57f603d532" xmlns:ns4="83a87e31-bf32-46ab-8e70-9fa18461fa4d" targetNamespace="http://schemas.microsoft.com/office/2006/metadata/properties" ma:root="true" ma:fieldsID="08cdf827188a588075b0e79b3ee321bd" ns2:_="" ns3:_="" ns4:_="">
    <xsd:import namespace="9b50d66d-1c3c-4c13-903c-83b0ecf34333"/>
    <xsd:import namespace="4d08ecf2-a2f4-470c-a814-6c57f603d532"/>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66d-1c3c-4c13-903c-83b0ecf34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8ecf2-a2f4-470c-a814-6c57f603d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1a30ce-7490-4787-a661-b4f552327b80}" ma:internalName="TaxCatchAll" ma:showField="CatchAllData" ma:web="4d08ecf2-a2f4-470c-a814-6c57f603d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0d66d-1c3c-4c13-903c-83b0ecf34333">
      <Terms xmlns="http://schemas.microsoft.com/office/infopath/2007/PartnerControls"/>
    </lcf76f155ced4ddcb4097134ff3c332f>
    <TaxCatchAll xmlns="83a87e31-bf32-46ab-8e70-9fa18461f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65598-6EBA-4802-839F-14D21965D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0d66d-1c3c-4c13-903c-83b0ecf34333"/>
    <ds:schemaRef ds:uri="4d08ecf2-a2f4-470c-a814-6c57f603d532"/>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3BD36-DB90-4EF3-BDF7-A3F94CDD394F}">
  <ds:schemaRefs>
    <ds:schemaRef ds:uri="http://schemas.microsoft.com/office/2006/metadata/properties"/>
    <ds:schemaRef ds:uri="http://schemas.microsoft.com/office/infopath/2007/PartnerControls"/>
    <ds:schemaRef ds:uri="9b50d66d-1c3c-4c13-903c-83b0ecf34333"/>
    <ds:schemaRef ds:uri="83a87e31-bf32-46ab-8e70-9fa18461fa4d"/>
  </ds:schemaRefs>
</ds:datastoreItem>
</file>

<file path=customXml/itemProps3.xml><?xml version="1.0" encoding="utf-8"?>
<ds:datastoreItem xmlns:ds="http://schemas.openxmlformats.org/officeDocument/2006/customXml" ds:itemID="{8A7A64D1-30A7-4451-AB5A-C0BCDC1CA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Links>
    <vt:vector size="18" baseType="variant">
      <vt:variant>
        <vt:i4>5374010</vt:i4>
      </vt:variant>
      <vt:variant>
        <vt:i4>6</vt:i4>
      </vt:variant>
      <vt:variant>
        <vt:i4>0</vt:i4>
      </vt:variant>
      <vt:variant>
        <vt:i4>5</vt:i4>
      </vt:variant>
      <vt:variant>
        <vt:lpwstr>mailto:info@ife.org.uk</vt:lpwstr>
      </vt:variant>
      <vt:variant>
        <vt:lpwstr/>
      </vt:variant>
      <vt:variant>
        <vt:i4>2949142</vt:i4>
      </vt:variant>
      <vt:variant>
        <vt:i4>3</vt:i4>
      </vt:variant>
      <vt:variant>
        <vt:i4>0</vt:i4>
      </vt:variant>
      <vt:variant>
        <vt:i4>5</vt:i4>
      </vt:variant>
      <vt:variant>
        <vt:lpwstr>mailto:contactrics@rics.org</vt:lpwstr>
      </vt:variant>
      <vt:variant>
        <vt:lpwstr/>
      </vt:variant>
      <vt:variant>
        <vt:i4>7536669</vt:i4>
      </vt:variant>
      <vt:variant>
        <vt:i4>0</vt:i4>
      </vt:variant>
      <vt:variant>
        <vt:i4>0</vt:i4>
      </vt:variant>
      <vt:variant>
        <vt:i4>5</vt:i4>
      </vt:variant>
      <vt:variant>
        <vt:lpwstr>mailto:DLUHC.EWS1PII@communities.gov.uk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Hill</dc:creator>
  <cp:keywords/>
  <dc:description/>
  <cp:lastModifiedBy>April McKay</cp:lastModifiedBy>
  <cp:revision>2</cp:revision>
  <cp:lastPrinted>2022-08-02T13:25:00Z</cp:lastPrinted>
  <dcterms:created xsi:type="dcterms:W3CDTF">2023-02-01T15:14:00Z</dcterms:created>
  <dcterms:modified xsi:type="dcterms:W3CDTF">2023-02-01T15:14:00Z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0x0101007DD304133280744395970A5316A9D518</vt:lpwstr>
  </property>
  <property fmtid="{D5CDD505-2E9C-101B-9397-08002B2CF9AE}" pid="3" name="MediaServiceImageTags">
    <vt:lpwstr/>
  </property>
</Properties>
</file>