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83577" w14:textId="77777777" w:rsidR="001714D7" w:rsidRDefault="001714D7" w:rsidP="00695F14">
      <w:pPr>
        <w:outlineLvl w:val="0"/>
        <w:rPr>
          <w:b/>
          <w:sz w:val="28"/>
          <w:szCs w:val="28"/>
          <w:lang w:val="en-US"/>
        </w:rPr>
      </w:pPr>
    </w:p>
    <w:p w14:paraId="12A92968" w14:textId="77777777" w:rsidR="00B66ED0" w:rsidRDefault="00F57D0B" w:rsidP="00695F14">
      <w:pPr>
        <w:outlineLvl w:val="0"/>
        <w:rPr>
          <w:b/>
          <w:sz w:val="28"/>
          <w:szCs w:val="28"/>
          <w:lang w:val="en-US"/>
        </w:rPr>
      </w:pPr>
      <w:r>
        <w:rPr>
          <w:b/>
          <w:sz w:val="28"/>
          <w:szCs w:val="28"/>
          <w:lang w:val="en-US"/>
        </w:rPr>
        <w:t xml:space="preserve">CIAT’s Response to: </w:t>
      </w:r>
      <w:r w:rsidR="00B66ED0">
        <w:rPr>
          <w:b/>
          <w:sz w:val="28"/>
          <w:szCs w:val="28"/>
          <w:lang w:val="en-US"/>
        </w:rPr>
        <w:t>Building a Safer Future</w:t>
      </w:r>
    </w:p>
    <w:p w14:paraId="7EA63ED0" w14:textId="77777777" w:rsidR="00F57D0B" w:rsidRDefault="00B66ED0" w:rsidP="00695F14">
      <w:pPr>
        <w:outlineLvl w:val="0"/>
        <w:rPr>
          <w:b/>
          <w:sz w:val="28"/>
          <w:szCs w:val="28"/>
          <w:lang w:val="en-US"/>
        </w:rPr>
      </w:pPr>
      <w:r>
        <w:rPr>
          <w:b/>
          <w:sz w:val="28"/>
          <w:szCs w:val="28"/>
          <w:lang w:val="en-US"/>
        </w:rPr>
        <w:t>Independent Review of Building Regulations and Fire Safety</w:t>
      </w:r>
      <w:r w:rsidR="00F57D0B">
        <w:rPr>
          <w:b/>
          <w:sz w:val="28"/>
          <w:szCs w:val="28"/>
          <w:lang w:val="en-US"/>
        </w:rPr>
        <w:t xml:space="preserve">: Final </w:t>
      </w:r>
      <w:r w:rsidR="00347DBB">
        <w:rPr>
          <w:b/>
          <w:sz w:val="28"/>
          <w:szCs w:val="28"/>
          <w:lang w:val="en-US"/>
        </w:rPr>
        <w:t>Report</w:t>
      </w:r>
      <w:r w:rsidR="00F57D0B">
        <w:rPr>
          <w:b/>
          <w:sz w:val="28"/>
          <w:szCs w:val="28"/>
          <w:lang w:val="en-US"/>
        </w:rPr>
        <w:t xml:space="preserve"> from Dame Judith </w:t>
      </w:r>
      <w:proofErr w:type="spellStart"/>
      <w:r w:rsidR="00F57D0B">
        <w:rPr>
          <w:b/>
          <w:sz w:val="28"/>
          <w:szCs w:val="28"/>
          <w:lang w:val="en-US"/>
        </w:rPr>
        <w:t>Hackitt</w:t>
      </w:r>
      <w:proofErr w:type="spellEnd"/>
    </w:p>
    <w:p w14:paraId="4AC4AF11" w14:textId="77777777" w:rsidR="00B66ED0" w:rsidRDefault="00B66ED0" w:rsidP="00695F14">
      <w:pPr>
        <w:outlineLvl w:val="0"/>
        <w:rPr>
          <w:b/>
          <w:sz w:val="28"/>
          <w:szCs w:val="28"/>
          <w:lang w:val="en-US"/>
        </w:rPr>
      </w:pPr>
    </w:p>
    <w:p w14:paraId="767D029A" w14:textId="77777777" w:rsidR="00B66ED0" w:rsidRPr="00B66ED0" w:rsidRDefault="00B66ED0" w:rsidP="00B66ED0">
      <w:pPr>
        <w:tabs>
          <w:tab w:val="left" w:pos="567"/>
        </w:tabs>
        <w:jc w:val="both"/>
        <w:rPr>
          <w:rFonts w:cs="Arial"/>
          <w:i/>
          <w:lang w:eastAsia="en-US"/>
        </w:rPr>
      </w:pPr>
      <w:r w:rsidRPr="00B66ED0">
        <w:rPr>
          <w:rFonts w:cs="Arial"/>
          <w:i/>
          <w:lang w:eastAsia="en-US"/>
        </w:rPr>
        <w:t>CIAT is the qualifying body of Architectural Technology professionals.</w:t>
      </w:r>
    </w:p>
    <w:p w14:paraId="34D9CF93" w14:textId="77777777" w:rsidR="00B66ED0" w:rsidRPr="00B66ED0" w:rsidRDefault="00B66ED0" w:rsidP="00B66ED0">
      <w:pPr>
        <w:tabs>
          <w:tab w:val="left" w:pos="567"/>
        </w:tabs>
        <w:jc w:val="both"/>
        <w:rPr>
          <w:rFonts w:cs="Arial"/>
          <w:i/>
          <w:lang w:eastAsia="en-US"/>
        </w:rPr>
      </w:pPr>
    </w:p>
    <w:p w14:paraId="22FCF72C" w14:textId="77777777" w:rsidR="00B66ED0" w:rsidRPr="00B66ED0" w:rsidRDefault="00B66ED0" w:rsidP="00B66ED0">
      <w:pPr>
        <w:tabs>
          <w:tab w:val="left" w:pos="567"/>
        </w:tabs>
        <w:jc w:val="both"/>
        <w:rPr>
          <w:rFonts w:cs="Arial"/>
          <w:i/>
          <w:lang w:eastAsia="en-US"/>
        </w:rPr>
      </w:pPr>
      <w:r w:rsidRPr="00B66ED0">
        <w:rPr>
          <w:rFonts w:cs="Arial"/>
          <w:i/>
          <w:lang w:eastAsia="en-US"/>
        </w:rPr>
        <w:t>Architectural Technology is the technology of architecture; a creative, innovative design discipline rooted in science and engineering, and an integral discipline within the built environment.</w:t>
      </w:r>
    </w:p>
    <w:p w14:paraId="5DA3125F" w14:textId="77777777" w:rsidR="00B66ED0" w:rsidRPr="00B66ED0" w:rsidRDefault="00B66ED0" w:rsidP="00B66ED0">
      <w:pPr>
        <w:shd w:val="clear" w:color="auto" w:fill="FFFFFF"/>
        <w:jc w:val="both"/>
        <w:rPr>
          <w:rFonts w:cs="Calibri"/>
          <w:i/>
          <w:color w:val="212121"/>
          <w:lang w:eastAsia="en-US"/>
        </w:rPr>
      </w:pPr>
    </w:p>
    <w:p w14:paraId="5404B9FA" w14:textId="77777777" w:rsidR="00B66ED0" w:rsidRPr="00B66ED0" w:rsidRDefault="00B66ED0" w:rsidP="00B66ED0">
      <w:pPr>
        <w:shd w:val="clear" w:color="auto" w:fill="FFFFFF"/>
        <w:jc w:val="both"/>
        <w:rPr>
          <w:rFonts w:cs="Calibri"/>
          <w:i/>
          <w:color w:val="212121"/>
          <w:lang w:eastAsia="en-US"/>
        </w:rPr>
      </w:pPr>
      <w:r w:rsidRPr="00B66ED0">
        <w:rPr>
          <w:rFonts w:cs="Calibri"/>
          <w:i/>
          <w:color w:val="212121"/>
          <w:lang w:eastAsia="en-US"/>
        </w:rPr>
        <w:t>As a design function, it relates to the anatomy and physiology of buildings and their production, performance and processes based upon the knowledge and application of science, engineering and technology, which are compliant with regulatory, statutory and legal requirements.</w:t>
      </w:r>
    </w:p>
    <w:p w14:paraId="545F8223" w14:textId="77777777" w:rsidR="00B66ED0" w:rsidRPr="00B66ED0" w:rsidRDefault="00B66ED0" w:rsidP="00B66ED0">
      <w:pPr>
        <w:shd w:val="clear" w:color="auto" w:fill="FFFFFF"/>
        <w:jc w:val="both"/>
        <w:rPr>
          <w:rFonts w:cs="Calibri"/>
          <w:i/>
          <w:color w:val="212121"/>
          <w:lang w:eastAsia="en-US"/>
        </w:rPr>
      </w:pPr>
    </w:p>
    <w:p w14:paraId="6F105C24" w14:textId="77777777" w:rsidR="00B66ED0" w:rsidRPr="00B66ED0" w:rsidRDefault="00B66ED0" w:rsidP="00B66ED0">
      <w:pPr>
        <w:shd w:val="clear" w:color="auto" w:fill="FFFFFF"/>
        <w:jc w:val="both"/>
        <w:rPr>
          <w:rFonts w:cs="Calibri"/>
          <w:i/>
          <w:color w:val="212121"/>
          <w:lang w:eastAsia="en-US"/>
        </w:rPr>
      </w:pPr>
      <w:r w:rsidRPr="00B66ED0">
        <w:rPr>
          <w:rFonts w:cs="Calibri"/>
          <w:i/>
          <w:color w:val="212121"/>
          <w:lang w:eastAsia="en-US"/>
        </w:rPr>
        <w:t>Architectural Technology achieves efficient and effective construction and robust sustainable design solutions that perform and endure over time.</w:t>
      </w:r>
    </w:p>
    <w:p w14:paraId="61ABD2B4" w14:textId="77777777" w:rsidR="00B66ED0" w:rsidRPr="00B66ED0" w:rsidRDefault="00B66ED0" w:rsidP="00B66ED0">
      <w:pPr>
        <w:tabs>
          <w:tab w:val="left" w:pos="567"/>
        </w:tabs>
        <w:jc w:val="both"/>
        <w:rPr>
          <w:rFonts w:cs="Arial"/>
          <w:i/>
          <w:lang w:eastAsia="en-US"/>
        </w:rPr>
      </w:pPr>
    </w:p>
    <w:p w14:paraId="17BF2686" w14:textId="77777777" w:rsidR="00B66ED0" w:rsidRPr="00B66ED0" w:rsidRDefault="00B66ED0" w:rsidP="00B66ED0">
      <w:pPr>
        <w:tabs>
          <w:tab w:val="left" w:pos="567"/>
        </w:tabs>
        <w:jc w:val="both"/>
        <w:rPr>
          <w:rFonts w:cs="Arial"/>
          <w:i/>
          <w:lang w:eastAsia="en-US"/>
        </w:rPr>
      </w:pPr>
      <w:r w:rsidRPr="00B66ED0">
        <w:rPr>
          <w:rFonts w:cs="Arial"/>
          <w:i/>
          <w:lang w:eastAsia="en-US"/>
        </w:rPr>
        <w:t>Our members’ competencies are innovative, creative and practical. Their fundamental skills include the ability to consider design holistically</w:t>
      </w:r>
      <w:r w:rsidR="00172602">
        <w:rPr>
          <w:rFonts w:cs="Arial"/>
          <w:i/>
          <w:lang w:eastAsia="en-US"/>
        </w:rPr>
        <w:t>,</w:t>
      </w:r>
      <w:r w:rsidRPr="00B66ED0">
        <w:rPr>
          <w:rFonts w:cs="Arial"/>
          <w:i/>
          <w:lang w:eastAsia="en-US"/>
        </w:rPr>
        <w:t xml:space="preserve"> </w:t>
      </w:r>
      <w:proofErr w:type="gramStart"/>
      <w:r w:rsidRPr="00B66ED0">
        <w:rPr>
          <w:rFonts w:cs="Arial"/>
          <w:i/>
          <w:lang w:eastAsia="en-US"/>
        </w:rPr>
        <w:t>taking into account</w:t>
      </w:r>
      <w:proofErr w:type="gramEnd"/>
      <w:r w:rsidRPr="00B66ED0">
        <w:rPr>
          <w:rFonts w:cs="Arial"/>
          <w:i/>
          <w:lang w:eastAsia="en-US"/>
        </w:rPr>
        <w:t xml:space="preserve"> all aspects of the composition. This includes the vision to run and lead projects from inception to completion, evaluating the client requirements balanced with the performance of the building together with its impact on the environment and the safety of its users.</w:t>
      </w:r>
    </w:p>
    <w:p w14:paraId="1B35A212" w14:textId="77777777" w:rsidR="00F57D0B" w:rsidRDefault="00F57D0B" w:rsidP="000D5585">
      <w:pPr>
        <w:jc w:val="both"/>
        <w:rPr>
          <w:b/>
          <w:bCs/>
        </w:rPr>
      </w:pPr>
    </w:p>
    <w:p w14:paraId="739759A3" w14:textId="77777777" w:rsidR="00BD6AE4" w:rsidRPr="004D11CB" w:rsidRDefault="000D5585" w:rsidP="000D5585">
      <w:pPr>
        <w:jc w:val="both"/>
        <w:rPr>
          <w:b/>
        </w:rPr>
      </w:pPr>
      <w:r w:rsidRPr="004D11CB">
        <w:rPr>
          <w:b/>
        </w:rPr>
        <w:t xml:space="preserve">Invitation for </w:t>
      </w:r>
      <w:r w:rsidR="00BD6AE4" w:rsidRPr="004D11CB">
        <w:rPr>
          <w:b/>
        </w:rPr>
        <w:t>CIAT’s</w:t>
      </w:r>
      <w:r w:rsidRPr="004D11CB">
        <w:rPr>
          <w:b/>
        </w:rPr>
        <w:t xml:space="preserve"> Direct</w:t>
      </w:r>
      <w:r w:rsidR="00BD6AE4" w:rsidRPr="004D11CB">
        <w:rPr>
          <w:b/>
        </w:rPr>
        <w:t xml:space="preserve"> Involvement: </w:t>
      </w:r>
    </w:p>
    <w:p w14:paraId="1056BEE6" w14:textId="41DE1618" w:rsidR="00BD6AE4" w:rsidRPr="004D11CB" w:rsidRDefault="00BD6AE4" w:rsidP="000D5585">
      <w:pPr>
        <w:jc w:val="both"/>
      </w:pPr>
      <w:r w:rsidRPr="004D11CB">
        <w:t>We consider it essential that CIAT is an active participant on th</w:t>
      </w:r>
      <w:r w:rsidR="004C3751" w:rsidRPr="004D11CB">
        <w:t>e implementation of the recommendations contained within this Report going</w:t>
      </w:r>
      <w:r w:rsidRPr="004D11CB">
        <w:t xml:space="preserve"> forward.  The very position CIAT’s members hold</w:t>
      </w:r>
      <w:r w:rsidR="00657F71" w:rsidRPr="004D11CB">
        <w:t xml:space="preserve"> together with</w:t>
      </w:r>
      <w:r w:rsidRPr="004D11CB">
        <w:t xml:space="preserve"> the</w:t>
      </w:r>
      <w:r w:rsidR="00657F71" w:rsidRPr="004D11CB">
        <w:t>ir</w:t>
      </w:r>
      <w:r w:rsidRPr="004D11CB">
        <w:t xml:space="preserve"> </w:t>
      </w:r>
      <w:proofErr w:type="gramStart"/>
      <w:r w:rsidRPr="004D11CB">
        <w:t>particular skills</w:t>
      </w:r>
      <w:proofErr w:type="gramEnd"/>
      <w:r w:rsidRPr="004D11CB">
        <w:t xml:space="preserve"> and training</w:t>
      </w:r>
      <w:r w:rsidR="00657F71" w:rsidRPr="004D11CB">
        <w:t>,</w:t>
      </w:r>
      <w:r w:rsidRPr="004D11CB">
        <w:t xml:space="preserve"> places them in an invaluable position to contribute constructively and productively. This is evidenced in Scotland where we have direct </w:t>
      </w:r>
      <w:r w:rsidR="00657F71" w:rsidRPr="004D11CB">
        <w:t>participation</w:t>
      </w:r>
      <w:r w:rsidRPr="004D11CB">
        <w:t xml:space="preserve"> and lead on various aspects by the Scottish Government Building Standards review</w:t>
      </w:r>
      <w:r w:rsidR="000D5585" w:rsidRPr="004D11CB">
        <w:t xml:space="preserve"> where,</w:t>
      </w:r>
      <w:r w:rsidRPr="004D11CB">
        <w:t xml:space="preserve"> as the lead profession</w:t>
      </w:r>
      <w:r w:rsidR="00657F71" w:rsidRPr="004D11CB">
        <w:t>,</w:t>
      </w:r>
      <w:r w:rsidRPr="004D11CB">
        <w:t xml:space="preserve"> </w:t>
      </w:r>
      <w:r w:rsidR="000D5585" w:rsidRPr="004D11CB">
        <w:t xml:space="preserve">we have been invited to act as a Chair or experts on Panels on </w:t>
      </w:r>
      <w:r w:rsidRPr="004D11CB">
        <w:t>such matters relating to Fire standards, compliance and enforcement and review</w:t>
      </w:r>
      <w:r w:rsidR="000D5585" w:rsidRPr="004D11CB">
        <w:t>.</w:t>
      </w:r>
      <w:r w:rsidRPr="004D11CB">
        <w:t xml:space="preserve"> </w:t>
      </w:r>
    </w:p>
    <w:p w14:paraId="6AE63A9E" w14:textId="77777777" w:rsidR="00F57D0B" w:rsidRDefault="00F57D0B" w:rsidP="00F57D0B">
      <w:pPr>
        <w:jc w:val="both"/>
        <w:rPr>
          <w:rFonts w:asciiTheme="minorHAnsi" w:hAnsiTheme="minorHAnsi"/>
          <w:b/>
          <w:bCs/>
        </w:rPr>
      </w:pPr>
    </w:p>
    <w:p w14:paraId="1D63C107" w14:textId="77777777" w:rsidR="00F57D0B" w:rsidRPr="00347DBB" w:rsidRDefault="000D5585" w:rsidP="00F57D0B">
      <w:pPr>
        <w:pStyle w:val="Default"/>
        <w:jc w:val="both"/>
        <w:rPr>
          <w:rFonts w:asciiTheme="minorHAnsi" w:hAnsiTheme="minorHAnsi"/>
          <w:b/>
          <w:bCs/>
          <w:color w:val="auto"/>
          <w:sz w:val="28"/>
          <w:szCs w:val="28"/>
        </w:rPr>
      </w:pPr>
      <w:r>
        <w:rPr>
          <w:rFonts w:asciiTheme="minorHAnsi" w:hAnsiTheme="minorHAnsi"/>
          <w:b/>
          <w:bCs/>
          <w:color w:val="auto"/>
          <w:sz w:val="28"/>
          <w:szCs w:val="28"/>
        </w:rPr>
        <w:t xml:space="preserve">Final Report: </w:t>
      </w:r>
      <w:r w:rsidR="00347DBB" w:rsidRPr="00347DBB">
        <w:rPr>
          <w:rFonts w:asciiTheme="minorHAnsi" w:hAnsiTheme="minorHAnsi"/>
          <w:b/>
          <w:bCs/>
          <w:color w:val="auto"/>
          <w:sz w:val="28"/>
          <w:szCs w:val="28"/>
        </w:rPr>
        <w:t>Executive Summary</w:t>
      </w:r>
    </w:p>
    <w:p w14:paraId="16F0E650" w14:textId="644DF5B1" w:rsidR="00F57D0B" w:rsidRPr="00F57D0B" w:rsidRDefault="00F57D0B" w:rsidP="00F57D0B">
      <w:pPr>
        <w:jc w:val="both"/>
        <w:rPr>
          <w:rFonts w:asciiTheme="minorHAnsi" w:hAnsiTheme="minorHAnsi"/>
        </w:rPr>
      </w:pPr>
      <w:r w:rsidRPr="00F57D0B">
        <w:rPr>
          <w:rFonts w:asciiTheme="minorHAnsi" w:hAnsiTheme="minorHAnsi"/>
        </w:rPr>
        <w:t xml:space="preserve">We </w:t>
      </w:r>
      <w:r w:rsidR="000D5585">
        <w:rPr>
          <w:rFonts w:asciiTheme="minorHAnsi" w:hAnsiTheme="minorHAnsi"/>
        </w:rPr>
        <w:t xml:space="preserve">fully </w:t>
      </w:r>
      <w:r w:rsidRPr="00F57D0B">
        <w:rPr>
          <w:rFonts w:asciiTheme="minorHAnsi" w:hAnsiTheme="minorHAnsi"/>
        </w:rPr>
        <w:t xml:space="preserve">support the </w:t>
      </w:r>
      <w:r w:rsidR="0087431B">
        <w:rPr>
          <w:rFonts w:asciiTheme="minorHAnsi" w:hAnsiTheme="minorHAnsi"/>
        </w:rPr>
        <w:t>Report</w:t>
      </w:r>
      <w:r w:rsidRPr="00F57D0B">
        <w:rPr>
          <w:rFonts w:asciiTheme="minorHAnsi" w:hAnsiTheme="minorHAnsi"/>
        </w:rPr>
        <w:t>’s scope to review</w:t>
      </w:r>
      <w:proofErr w:type="gramStart"/>
      <w:r w:rsidR="006375F1">
        <w:rPr>
          <w:rFonts w:asciiTheme="minorHAnsi" w:hAnsiTheme="minorHAnsi"/>
        </w:rPr>
        <w:t>, as a whole, the</w:t>
      </w:r>
      <w:proofErr w:type="gramEnd"/>
      <w:r w:rsidR="006375F1">
        <w:rPr>
          <w:rFonts w:asciiTheme="minorHAnsi" w:hAnsiTheme="minorHAnsi"/>
        </w:rPr>
        <w:t xml:space="preserve"> regulatory systems and procedures.  H</w:t>
      </w:r>
      <w:r w:rsidRPr="00F57D0B">
        <w:rPr>
          <w:rFonts w:asciiTheme="minorHAnsi" w:hAnsiTheme="minorHAnsi"/>
        </w:rPr>
        <w:t xml:space="preserve">owever, we would welcome discussion on the developing narrative following this wholesale review since certain </w:t>
      </w:r>
      <w:proofErr w:type="gramStart"/>
      <w:r w:rsidRPr="00F57D0B">
        <w:rPr>
          <w:rFonts w:asciiTheme="minorHAnsi" w:hAnsiTheme="minorHAnsi"/>
        </w:rPr>
        <w:t>particulars are</w:t>
      </w:r>
      <w:proofErr w:type="gramEnd"/>
      <w:r w:rsidRPr="00F57D0B">
        <w:rPr>
          <w:rFonts w:asciiTheme="minorHAnsi" w:hAnsiTheme="minorHAnsi"/>
        </w:rPr>
        <w:t xml:space="preserve"> promoted at the expense of others.  This might not deliver the future envisioned due to industry capacity at various pinch points in the approval and assurance process.</w:t>
      </w:r>
    </w:p>
    <w:p w14:paraId="32C04A74" w14:textId="77777777" w:rsidR="00F57D0B" w:rsidRPr="00F57D0B" w:rsidRDefault="00F57D0B" w:rsidP="00F57D0B">
      <w:pPr>
        <w:jc w:val="both"/>
        <w:rPr>
          <w:rFonts w:asciiTheme="minorHAnsi" w:hAnsiTheme="minorHAnsi"/>
        </w:rPr>
      </w:pPr>
    </w:p>
    <w:p w14:paraId="15F5113F" w14:textId="1695BE66" w:rsidR="00F57D0B" w:rsidRPr="00F57D0B" w:rsidRDefault="00F57D0B" w:rsidP="00F57D0B">
      <w:pPr>
        <w:jc w:val="both"/>
        <w:rPr>
          <w:rFonts w:asciiTheme="minorHAnsi" w:hAnsiTheme="minorHAnsi"/>
        </w:rPr>
      </w:pPr>
      <w:r w:rsidRPr="00F57D0B">
        <w:rPr>
          <w:rFonts w:asciiTheme="minorHAnsi" w:hAnsiTheme="minorHAnsi"/>
        </w:rPr>
        <w:t xml:space="preserve">The amplification in the ‘executive summary’ of an entire system not fit for purpose </w:t>
      </w:r>
      <w:r w:rsidR="0087431B">
        <w:rPr>
          <w:rFonts w:asciiTheme="minorHAnsi" w:hAnsiTheme="minorHAnsi"/>
        </w:rPr>
        <w:t xml:space="preserve">we consider </w:t>
      </w:r>
      <w:r w:rsidR="00D3274A">
        <w:rPr>
          <w:rFonts w:asciiTheme="minorHAnsi" w:hAnsiTheme="minorHAnsi"/>
        </w:rPr>
        <w:t xml:space="preserve">should be </w:t>
      </w:r>
      <w:r w:rsidRPr="00F57D0B">
        <w:rPr>
          <w:rFonts w:asciiTheme="minorHAnsi" w:hAnsiTheme="minorHAnsi"/>
        </w:rPr>
        <w:t>qualified by management in use issues</w:t>
      </w:r>
      <w:r w:rsidR="00D3274A">
        <w:rPr>
          <w:rFonts w:asciiTheme="minorHAnsi" w:hAnsiTheme="minorHAnsi"/>
        </w:rPr>
        <w:t xml:space="preserve"> together with</w:t>
      </w:r>
      <w:r w:rsidRPr="00F57D0B">
        <w:rPr>
          <w:rFonts w:asciiTheme="minorHAnsi" w:hAnsiTheme="minorHAnsi"/>
        </w:rPr>
        <w:t xml:space="preserve"> poor maintenance and inspection.  The widely accepted rarity of major fires would suggest a healthy degree of incongruence between the two positions of wholesale problems and exceptionally few incidents.  This is not </w:t>
      </w:r>
      <w:r w:rsidR="00D3274A">
        <w:rPr>
          <w:rFonts w:asciiTheme="minorHAnsi" w:hAnsiTheme="minorHAnsi"/>
        </w:rPr>
        <w:t>attributable merely to fortune</w:t>
      </w:r>
      <w:r w:rsidRPr="00F57D0B">
        <w:rPr>
          <w:rFonts w:asciiTheme="minorHAnsi" w:hAnsiTheme="minorHAnsi"/>
        </w:rPr>
        <w:t xml:space="preserve">, it is because we have ambitious and dedicated, qualified and competent, educated and articulate, people designing and constructing our built environment: there are discrete issues that have led to safety gaps caused by poor fire safety assurance processes through design, construction and management in use, and the </w:t>
      </w:r>
      <w:r w:rsidR="0087431B">
        <w:rPr>
          <w:rFonts w:asciiTheme="minorHAnsi" w:hAnsiTheme="minorHAnsi"/>
        </w:rPr>
        <w:t>Report</w:t>
      </w:r>
      <w:r w:rsidRPr="00F57D0B">
        <w:rPr>
          <w:rFonts w:asciiTheme="minorHAnsi" w:hAnsiTheme="minorHAnsi"/>
        </w:rPr>
        <w:t xml:space="preserve"> diligently looks at these in some detail.  However, the narrative of incompetent designers and contractors attempting to circumvent safety is not recognised in the design process</w:t>
      </w:r>
      <w:r w:rsidR="00D3274A">
        <w:rPr>
          <w:rFonts w:asciiTheme="minorHAnsi" w:hAnsiTheme="minorHAnsi"/>
        </w:rPr>
        <w:t xml:space="preserve">.  It should be recognised </w:t>
      </w:r>
      <w:r w:rsidRPr="00F57D0B">
        <w:rPr>
          <w:rFonts w:asciiTheme="minorHAnsi" w:hAnsiTheme="minorHAnsi"/>
        </w:rPr>
        <w:t xml:space="preserve">however, </w:t>
      </w:r>
      <w:r w:rsidR="00D3274A">
        <w:rPr>
          <w:rFonts w:asciiTheme="minorHAnsi" w:hAnsiTheme="minorHAnsi"/>
        </w:rPr>
        <w:t xml:space="preserve">that </w:t>
      </w:r>
      <w:r w:rsidRPr="00F57D0B">
        <w:rPr>
          <w:rFonts w:asciiTheme="minorHAnsi" w:hAnsiTheme="minorHAnsi"/>
        </w:rPr>
        <w:t xml:space="preserve">profit margins can influence contractor behaviour and sub-contractors are unlikely to understand the wider building issues: they are on-site to perform a </w:t>
      </w:r>
      <w:proofErr w:type="gramStart"/>
      <w:r w:rsidRPr="00F57D0B">
        <w:rPr>
          <w:rFonts w:asciiTheme="minorHAnsi" w:hAnsiTheme="minorHAnsi"/>
        </w:rPr>
        <w:t>particular task</w:t>
      </w:r>
      <w:proofErr w:type="gramEnd"/>
      <w:r w:rsidRPr="00F57D0B">
        <w:rPr>
          <w:rFonts w:asciiTheme="minorHAnsi" w:hAnsiTheme="minorHAnsi"/>
        </w:rPr>
        <w:t>.  It is also not uncommon for jobs to be rushed at the last minute because</w:t>
      </w:r>
      <w:r w:rsidR="00D3274A">
        <w:rPr>
          <w:rFonts w:asciiTheme="minorHAnsi" w:hAnsiTheme="minorHAnsi"/>
        </w:rPr>
        <w:t xml:space="preserve"> pressure is applied </w:t>
      </w:r>
      <w:r w:rsidR="000D5585">
        <w:rPr>
          <w:rFonts w:asciiTheme="minorHAnsi" w:hAnsiTheme="minorHAnsi"/>
        </w:rPr>
        <w:t>due to various factors, external and internal.</w:t>
      </w:r>
    </w:p>
    <w:p w14:paraId="75A34DD6" w14:textId="77777777" w:rsidR="00F57D0B" w:rsidRPr="00F57D0B" w:rsidRDefault="00F57D0B" w:rsidP="00F57D0B">
      <w:pPr>
        <w:jc w:val="both"/>
        <w:rPr>
          <w:rFonts w:asciiTheme="minorHAnsi" w:hAnsiTheme="minorHAnsi"/>
        </w:rPr>
      </w:pPr>
    </w:p>
    <w:p w14:paraId="52B60A15" w14:textId="77777777" w:rsidR="004D11CB" w:rsidRDefault="004D11CB" w:rsidP="00F57D0B">
      <w:pPr>
        <w:jc w:val="both"/>
        <w:rPr>
          <w:rFonts w:asciiTheme="minorHAnsi" w:hAnsiTheme="minorHAnsi"/>
        </w:rPr>
      </w:pPr>
    </w:p>
    <w:p w14:paraId="14EE148A" w14:textId="430FDDA0" w:rsidR="00F57D0B" w:rsidRPr="00F57D0B" w:rsidRDefault="000D5585" w:rsidP="00F57D0B">
      <w:pPr>
        <w:jc w:val="both"/>
        <w:rPr>
          <w:rFonts w:asciiTheme="minorHAnsi" w:hAnsiTheme="minorHAnsi"/>
        </w:rPr>
      </w:pPr>
      <w:r>
        <w:rPr>
          <w:rFonts w:asciiTheme="minorHAnsi" w:hAnsiTheme="minorHAnsi"/>
        </w:rPr>
        <w:t xml:space="preserve">The absence of the QDR process from the Report is unfortunate and one which we would </w:t>
      </w:r>
      <w:r w:rsidR="00657F71">
        <w:rPr>
          <w:rFonts w:asciiTheme="minorHAnsi" w:hAnsiTheme="minorHAnsi"/>
        </w:rPr>
        <w:t>suggest</w:t>
      </w:r>
      <w:r>
        <w:rPr>
          <w:rFonts w:asciiTheme="minorHAnsi" w:hAnsiTheme="minorHAnsi"/>
        </w:rPr>
        <w:t xml:space="preserve"> </w:t>
      </w:r>
      <w:proofErr w:type="gramStart"/>
      <w:r>
        <w:rPr>
          <w:rFonts w:asciiTheme="minorHAnsi" w:hAnsiTheme="minorHAnsi"/>
        </w:rPr>
        <w:t>be</w:t>
      </w:r>
      <w:proofErr w:type="gramEnd"/>
      <w:r>
        <w:rPr>
          <w:rFonts w:asciiTheme="minorHAnsi" w:hAnsiTheme="minorHAnsi"/>
        </w:rPr>
        <w:t xml:space="preserve"> reconsidered.  </w:t>
      </w:r>
      <w:r w:rsidR="00F57D0B" w:rsidRPr="00F57D0B">
        <w:rPr>
          <w:rFonts w:asciiTheme="minorHAnsi" w:hAnsiTheme="minorHAnsi"/>
        </w:rPr>
        <w:t>Fire safety assurance</w:t>
      </w:r>
      <w:r w:rsidR="00D3274A">
        <w:rPr>
          <w:rFonts w:asciiTheme="minorHAnsi" w:hAnsiTheme="minorHAnsi"/>
        </w:rPr>
        <w:t xml:space="preserve"> can be improved by being</w:t>
      </w:r>
      <w:r w:rsidR="00F57D0B" w:rsidRPr="00F57D0B">
        <w:rPr>
          <w:rFonts w:asciiTheme="minorHAnsi" w:hAnsiTheme="minorHAnsi"/>
        </w:rPr>
        <w:t xml:space="preserve"> delivered in practice </w:t>
      </w:r>
      <w:r w:rsidR="00D3274A">
        <w:rPr>
          <w:rFonts w:asciiTheme="minorHAnsi" w:hAnsiTheme="minorHAnsi"/>
        </w:rPr>
        <w:t>using</w:t>
      </w:r>
      <w:r w:rsidR="00F57D0B" w:rsidRPr="00F57D0B">
        <w:rPr>
          <w:rFonts w:asciiTheme="minorHAnsi" w:hAnsiTheme="minorHAnsi"/>
        </w:rPr>
        <w:t xml:space="preserve"> the QDR, itself informed, as appropriate, by desktop studies.  In this respect, desktop studies must be promoted and interrogated through this process.</w:t>
      </w:r>
    </w:p>
    <w:p w14:paraId="0C96A71C" w14:textId="77777777" w:rsidR="00F57D0B" w:rsidRPr="00F57D0B" w:rsidRDefault="00F57D0B" w:rsidP="00F57D0B">
      <w:pPr>
        <w:jc w:val="both"/>
        <w:rPr>
          <w:rFonts w:asciiTheme="minorHAnsi" w:hAnsiTheme="minorHAnsi"/>
        </w:rPr>
      </w:pPr>
    </w:p>
    <w:p w14:paraId="0A95A0C3" w14:textId="54075499" w:rsidR="00F57D0B" w:rsidRPr="00F57D0B" w:rsidRDefault="00F57D0B" w:rsidP="00F57D0B">
      <w:pPr>
        <w:jc w:val="both"/>
        <w:rPr>
          <w:rFonts w:asciiTheme="minorHAnsi" w:hAnsiTheme="minorHAnsi"/>
        </w:rPr>
      </w:pPr>
      <w:r w:rsidRPr="00F57D0B">
        <w:rPr>
          <w:rFonts w:asciiTheme="minorHAnsi" w:hAnsiTheme="minorHAnsi"/>
        </w:rPr>
        <w:t xml:space="preserve">It is equally true that any QDR is only as strong as the team assembled: </w:t>
      </w:r>
      <w:proofErr w:type="gramStart"/>
      <w:r w:rsidRPr="00F57D0B">
        <w:rPr>
          <w:rFonts w:asciiTheme="minorHAnsi" w:hAnsiTheme="minorHAnsi"/>
        </w:rPr>
        <w:t>thus</w:t>
      </w:r>
      <w:proofErr w:type="gramEnd"/>
      <w:r w:rsidRPr="00F57D0B">
        <w:rPr>
          <w:rFonts w:asciiTheme="minorHAnsi" w:hAnsiTheme="minorHAnsi"/>
        </w:rPr>
        <w:t xml:space="preserve"> </w:t>
      </w:r>
      <w:r w:rsidR="000D5585">
        <w:rPr>
          <w:rFonts w:asciiTheme="minorHAnsi" w:hAnsiTheme="minorHAnsi"/>
        </w:rPr>
        <w:t>relevant competences</w:t>
      </w:r>
      <w:r w:rsidRPr="00F57D0B">
        <w:rPr>
          <w:rFonts w:asciiTheme="minorHAnsi" w:hAnsiTheme="minorHAnsi"/>
        </w:rPr>
        <w:t xml:space="preserve"> are important, provided they are supported by experience.  Sector specific expertise is evident in the industry already – in rail, airports, nuclear, shopping centres.  We certainly agree that a similar</w:t>
      </w:r>
      <w:r w:rsidR="00282555">
        <w:rPr>
          <w:rFonts w:asciiTheme="minorHAnsi" w:hAnsiTheme="minorHAnsi"/>
        </w:rPr>
        <w:t xml:space="preserve"> robust</w:t>
      </w:r>
      <w:r w:rsidRPr="00F57D0B">
        <w:rPr>
          <w:rFonts w:asciiTheme="minorHAnsi" w:hAnsiTheme="minorHAnsi"/>
        </w:rPr>
        <w:t xml:space="preserve"> sector specific expertise</w:t>
      </w:r>
      <w:r w:rsidR="00282555">
        <w:rPr>
          <w:rFonts w:asciiTheme="minorHAnsi" w:hAnsiTheme="minorHAnsi"/>
        </w:rPr>
        <w:t xml:space="preserve"> process</w:t>
      </w:r>
      <w:r w:rsidRPr="00F57D0B">
        <w:rPr>
          <w:rFonts w:asciiTheme="minorHAnsi" w:hAnsiTheme="minorHAnsi"/>
        </w:rPr>
        <w:t xml:space="preserve"> needs to be developed for high-rise.  </w:t>
      </w:r>
    </w:p>
    <w:p w14:paraId="2945062C" w14:textId="77777777" w:rsidR="00F57D0B" w:rsidRPr="00F57D0B" w:rsidRDefault="00F57D0B" w:rsidP="00F57D0B">
      <w:pPr>
        <w:pStyle w:val="Default"/>
        <w:jc w:val="both"/>
        <w:rPr>
          <w:rFonts w:asciiTheme="minorHAnsi" w:hAnsiTheme="minorHAnsi"/>
          <w:color w:val="auto"/>
          <w:sz w:val="22"/>
          <w:szCs w:val="22"/>
        </w:rPr>
      </w:pPr>
    </w:p>
    <w:p w14:paraId="580A9BB4" w14:textId="27DA2CFD" w:rsidR="00F57D0B" w:rsidRPr="00F57D0B" w:rsidRDefault="00F57D0B" w:rsidP="00F57D0B">
      <w:pPr>
        <w:pStyle w:val="Default"/>
        <w:jc w:val="both"/>
        <w:rPr>
          <w:rFonts w:asciiTheme="minorHAnsi" w:hAnsiTheme="minorHAnsi"/>
          <w:color w:val="auto"/>
          <w:sz w:val="22"/>
          <w:szCs w:val="22"/>
        </w:rPr>
      </w:pPr>
      <w:r w:rsidRPr="00F57D0B">
        <w:rPr>
          <w:rFonts w:asciiTheme="minorHAnsi" w:hAnsiTheme="minorHAnsi"/>
          <w:color w:val="auto"/>
          <w:sz w:val="22"/>
          <w:szCs w:val="22"/>
        </w:rPr>
        <w:t xml:space="preserve">Additionally, the change control process and record keeping can be poor.  This is again resolved by improved fire safety assurance and the cited intervention points in appendix B of the </w:t>
      </w:r>
      <w:r w:rsidR="0087431B">
        <w:rPr>
          <w:rFonts w:asciiTheme="minorHAnsi" w:hAnsiTheme="minorHAnsi"/>
          <w:color w:val="auto"/>
          <w:sz w:val="22"/>
          <w:szCs w:val="22"/>
        </w:rPr>
        <w:t>Report</w:t>
      </w:r>
      <w:r w:rsidRPr="00F57D0B">
        <w:rPr>
          <w:rFonts w:asciiTheme="minorHAnsi" w:hAnsiTheme="minorHAnsi"/>
          <w:color w:val="auto"/>
          <w:sz w:val="22"/>
          <w:szCs w:val="22"/>
        </w:rPr>
        <w:t>.  A model assurance process needs to be developed in conjunction with this approval route method.  The role of government in setting outcome</w:t>
      </w:r>
      <w:r w:rsidR="0087431B">
        <w:rPr>
          <w:rFonts w:asciiTheme="minorHAnsi" w:hAnsiTheme="minorHAnsi"/>
          <w:color w:val="auto"/>
          <w:sz w:val="22"/>
          <w:szCs w:val="22"/>
        </w:rPr>
        <w:t>-</w:t>
      </w:r>
      <w:r w:rsidRPr="00F57D0B">
        <w:rPr>
          <w:rFonts w:asciiTheme="minorHAnsi" w:hAnsiTheme="minorHAnsi"/>
          <w:color w:val="auto"/>
          <w:sz w:val="22"/>
          <w:szCs w:val="22"/>
        </w:rPr>
        <w:t xml:space="preserve">based criteria is not clear – the Building Regulations would already appear to </w:t>
      </w:r>
      <w:r w:rsidR="00282555">
        <w:rPr>
          <w:rFonts w:asciiTheme="minorHAnsi" w:hAnsiTheme="minorHAnsi"/>
          <w:color w:val="auto"/>
          <w:sz w:val="22"/>
          <w:szCs w:val="22"/>
        </w:rPr>
        <w:t>accommodate</w:t>
      </w:r>
      <w:r w:rsidRPr="00F57D0B">
        <w:rPr>
          <w:rFonts w:asciiTheme="minorHAnsi" w:hAnsiTheme="minorHAnsi"/>
          <w:color w:val="auto"/>
          <w:sz w:val="22"/>
          <w:szCs w:val="22"/>
        </w:rPr>
        <w:t xml:space="preserve"> this. </w:t>
      </w:r>
      <w:r w:rsidR="00282555">
        <w:rPr>
          <w:rFonts w:asciiTheme="minorHAnsi" w:hAnsiTheme="minorHAnsi"/>
          <w:color w:val="auto"/>
          <w:sz w:val="22"/>
          <w:szCs w:val="22"/>
        </w:rPr>
        <w:t xml:space="preserve"> It appears that the failings are a result of a lack of understanding and following the procedures and processes that are already in place. </w:t>
      </w:r>
      <w:proofErr w:type="gramStart"/>
      <w:r w:rsidRPr="00F57D0B">
        <w:rPr>
          <w:rFonts w:asciiTheme="minorHAnsi" w:hAnsiTheme="minorHAnsi"/>
          <w:color w:val="auto"/>
          <w:sz w:val="22"/>
          <w:szCs w:val="22"/>
        </w:rPr>
        <w:t>Is</w:t>
      </w:r>
      <w:proofErr w:type="gramEnd"/>
      <w:r w:rsidRPr="00F57D0B">
        <w:rPr>
          <w:rFonts w:asciiTheme="minorHAnsi" w:hAnsiTheme="minorHAnsi"/>
          <w:color w:val="auto"/>
          <w:sz w:val="22"/>
          <w:szCs w:val="22"/>
        </w:rPr>
        <w:t xml:space="preserve"> outcome</w:t>
      </w:r>
      <w:r w:rsidR="0087431B">
        <w:rPr>
          <w:rFonts w:asciiTheme="minorHAnsi" w:hAnsiTheme="minorHAnsi"/>
          <w:color w:val="auto"/>
          <w:sz w:val="22"/>
          <w:szCs w:val="22"/>
        </w:rPr>
        <w:t>-</w:t>
      </w:r>
      <w:r w:rsidRPr="00F57D0B">
        <w:rPr>
          <w:rFonts w:asciiTheme="minorHAnsi" w:hAnsiTheme="minorHAnsi"/>
          <w:color w:val="auto"/>
          <w:sz w:val="22"/>
          <w:szCs w:val="22"/>
        </w:rPr>
        <w:t>based criteria around building life cycle and management of it, in addition to Building Regulations?</w:t>
      </w:r>
    </w:p>
    <w:p w14:paraId="2A041A70" w14:textId="77777777" w:rsidR="00F57D0B" w:rsidRPr="00F57D0B" w:rsidRDefault="00F57D0B" w:rsidP="00F57D0B">
      <w:pPr>
        <w:pStyle w:val="Default"/>
        <w:jc w:val="both"/>
        <w:rPr>
          <w:rFonts w:asciiTheme="minorHAnsi" w:hAnsiTheme="minorHAnsi"/>
          <w:color w:val="auto"/>
          <w:sz w:val="22"/>
          <w:szCs w:val="22"/>
        </w:rPr>
      </w:pPr>
    </w:p>
    <w:p w14:paraId="7A77108D" w14:textId="4FD1E7F1" w:rsidR="00F57D0B" w:rsidRPr="00F57D0B" w:rsidRDefault="00F57D0B" w:rsidP="00F57D0B">
      <w:pPr>
        <w:jc w:val="both"/>
        <w:rPr>
          <w:rFonts w:asciiTheme="minorHAnsi" w:hAnsiTheme="minorHAnsi"/>
        </w:rPr>
      </w:pPr>
      <w:r w:rsidRPr="00F57D0B">
        <w:rPr>
          <w:rFonts w:asciiTheme="minorHAnsi" w:hAnsiTheme="minorHAnsi"/>
        </w:rPr>
        <w:t>It is implied that the Building Regulations</w:t>
      </w:r>
      <w:r w:rsidR="00282555">
        <w:rPr>
          <w:rFonts w:asciiTheme="minorHAnsi" w:hAnsiTheme="minorHAnsi"/>
        </w:rPr>
        <w:t xml:space="preserve"> are</w:t>
      </w:r>
      <w:r w:rsidRPr="00F57D0B">
        <w:rPr>
          <w:rFonts w:asciiTheme="minorHAnsi" w:hAnsiTheme="minorHAnsi"/>
        </w:rPr>
        <w:t xml:space="preserve"> unfit for purpose.  </w:t>
      </w:r>
      <w:r w:rsidR="00282555">
        <w:rPr>
          <w:rFonts w:asciiTheme="minorHAnsi" w:hAnsiTheme="minorHAnsi"/>
        </w:rPr>
        <w:t>There is no explanation given for this conclusion.</w:t>
      </w:r>
      <w:r w:rsidRPr="00F57D0B">
        <w:rPr>
          <w:rFonts w:asciiTheme="minorHAnsi" w:hAnsiTheme="minorHAnsi"/>
        </w:rPr>
        <w:t xml:space="preserve">  Guidance could be clearer, the Regulations themselves are clear.  We concur change control is an issue: hence the need to promote the QDR process.</w:t>
      </w:r>
    </w:p>
    <w:p w14:paraId="44C2F792" w14:textId="77777777" w:rsidR="00F57D0B" w:rsidRPr="00F57D0B" w:rsidRDefault="00F57D0B" w:rsidP="00F57D0B">
      <w:pPr>
        <w:pStyle w:val="Default"/>
        <w:jc w:val="both"/>
        <w:rPr>
          <w:rFonts w:asciiTheme="minorHAnsi" w:hAnsiTheme="minorHAnsi"/>
          <w:color w:val="auto"/>
          <w:sz w:val="22"/>
          <w:szCs w:val="22"/>
        </w:rPr>
      </w:pPr>
    </w:p>
    <w:p w14:paraId="06A069BE" w14:textId="77777777" w:rsidR="00F57D0B" w:rsidRPr="00F57D0B" w:rsidRDefault="00F57D0B" w:rsidP="00F57D0B">
      <w:pPr>
        <w:pStyle w:val="Default"/>
        <w:jc w:val="both"/>
        <w:rPr>
          <w:rFonts w:asciiTheme="minorHAnsi" w:hAnsiTheme="minorHAnsi"/>
          <w:color w:val="auto"/>
          <w:sz w:val="22"/>
          <w:szCs w:val="22"/>
        </w:rPr>
      </w:pPr>
      <w:r w:rsidRPr="00F57D0B">
        <w:rPr>
          <w:rFonts w:asciiTheme="minorHAnsi" w:hAnsiTheme="minorHAnsi"/>
          <w:color w:val="auto"/>
          <w:sz w:val="22"/>
          <w:szCs w:val="22"/>
        </w:rPr>
        <w:t>If the duty-holder needs to “identify and make improvements where reasonable and practicable”, how will this be evaluated in situations where no material alteration occurs, or if the situation is no worse than existing?  Will this premise be removed from Building Regulations so that improvement is always made?</w:t>
      </w:r>
    </w:p>
    <w:p w14:paraId="53055F5C" w14:textId="77777777" w:rsidR="00F57D0B" w:rsidRPr="00F57D0B" w:rsidRDefault="00F57D0B" w:rsidP="00F57D0B">
      <w:pPr>
        <w:pStyle w:val="Default"/>
        <w:jc w:val="both"/>
        <w:rPr>
          <w:rFonts w:asciiTheme="minorHAnsi" w:hAnsiTheme="minorHAnsi"/>
          <w:color w:val="auto"/>
          <w:sz w:val="22"/>
          <w:szCs w:val="22"/>
        </w:rPr>
      </w:pPr>
    </w:p>
    <w:p w14:paraId="10283540" w14:textId="77777777" w:rsidR="00F57D0B" w:rsidRPr="00F57D0B" w:rsidRDefault="00F57D0B" w:rsidP="00F57D0B">
      <w:pPr>
        <w:pStyle w:val="Default"/>
        <w:jc w:val="both"/>
        <w:rPr>
          <w:rFonts w:asciiTheme="minorHAnsi" w:hAnsiTheme="minorHAnsi"/>
          <w:color w:val="auto"/>
          <w:sz w:val="22"/>
          <w:szCs w:val="22"/>
        </w:rPr>
      </w:pPr>
      <w:r w:rsidRPr="00F57D0B">
        <w:rPr>
          <w:rFonts w:asciiTheme="minorHAnsi" w:hAnsiTheme="minorHAnsi"/>
          <w:color w:val="auto"/>
          <w:sz w:val="22"/>
          <w:szCs w:val="22"/>
        </w:rPr>
        <w:t xml:space="preserve">The safety case is for high hazard – low population industries.  Some ALARP tests are not suitable for high-rise residential or other buildings where mobility and vulnerability issues arise, such as in care homes and hospitals.  A serious re-think on ALARP is required in connection with cost-benefit analysis thresholds, gross disproportion tests and probabilistic analysis studies (PSA).  The Channel Tunnel PSA is often held as an example of the shortcomings: a 1 in </w:t>
      </w:r>
      <w:proofErr w:type="gramStart"/>
      <w:r w:rsidRPr="00F57D0B">
        <w:rPr>
          <w:rFonts w:asciiTheme="minorHAnsi" w:hAnsiTheme="minorHAnsi"/>
          <w:color w:val="auto"/>
          <w:sz w:val="22"/>
          <w:szCs w:val="22"/>
        </w:rPr>
        <w:t>400 year</w:t>
      </w:r>
      <w:proofErr w:type="gramEnd"/>
      <w:r w:rsidRPr="00F57D0B">
        <w:rPr>
          <w:rFonts w:asciiTheme="minorHAnsi" w:hAnsiTheme="minorHAnsi"/>
          <w:color w:val="auto"/>
          <w:sz w:val="22"/>
          <w:szCs w:val="22"/>
        </w:rPr>
        <w:t xml:space="preserve"> event has happened five times since the tunnel opened in the mid-1990s.</w:t>
      </w:r>
    </w:p>
    <w:p w14:paraId="718F9025" w14:textId="77777777" w:rsidR="00F57D0B" w:rsidRPr="00F57D0B" w:rsidRDefault="00F57D0B" w:rsidP="00F57D0B">
      <w:pPr>
        <w:pStyle w:val="Default"/>
        <w:jc w:val="both"/>
        <w:rPr>
          <w:rFonts w:asciiTheme="minorHAnsi" w:hAnsiTheme="minorHAnsi"/>
          <w:color w:val="auto"/>
          <w:sz w:val="22"/>
          <w:szCs w:val="22"/>
        </w:rPr>
      </w:pPr>
    </w:p>
    <w:p w14:paraId="2B99C89D" w14:textId="409A9D74" w:rsidR="00F57D0B" w:rsidRPr="00F57D0B" w:rsidRDefault="00F57D0B" w:rsidP="00F57D0B">
      <w:pPr>
        <w:pStyle w:val="Default"/>
        <w:jc w:val="both"/>
        <w:rPr>
          <w:rFonts w:asciiTheme="minorHAnsi" w:hAnsiTheme="minorHAnsi"/>
          <w:color w:val="auto"/>
          <w:sz w:val="22"/>
          <w:szCs w:val="22"/>
        </w:rPr>
      </w:pPr>
      <w:r w:rsidRPr="00F57D0B">
        <w:rPr>
          <w:rFonts w:asciiTheme="minorHAnsi" w:hAnsiTheme="minorHAnsi"/>
          <w:color w:val="auto"/>
          <w:sz w:val="22"/>
          <w:szCs w:val="22"/>
        </w:rPr>
        <w:t xml:space="preserve">Gross disproportion thresholds arise from the Sizewell B enquiry from evidence given by John Locke.  This has never been tested in law.  The value of preventing a fatality in </w:t>
      </w:r>
      <w:proofErr w:type="gramStart"/>
      <w:r w:rsidRPr="00F57D0B">
        <w:rPr>
          <w:rFonts w:asciiTheme="minorHAnsi" w:hAnsiTheme="minorHAnsi"/>
          <w:color w:val="auto"/>
          <w:sz w:val="22"/>
          <w:szCs w:val="22"/>
        </w:rPr>
        <w:t>actual fact</w:t>
      </w:r>
      <w:proofErr w:type="gramEnd"/>
      <w:r w:rsidRPr="00F57D0B">
        <w:rPr>
          <w:rFonts w:asciiTheme="minorHAnsi" w:hAnsiTheme="minorHAnsi"/>
          <w:color w:val="auto"/>
          <w:sz w:val="22"/>
          <w:szCs w:val="22"/>
        </w:rPr>
        <w:t xml:space="preserve"> is not representative of the evidence provided at Sizewell, because the assessment is too narrow.  It excludes parliamentary time for legislation, further enquiries, bureaucratic broadening, more guidance documents, new training / monitoring, and management time at all levels of organisations.  What needs to be </w:t>
      </w:r>
      <w:r w:rsidR="00282555">
        <w:rPr>
          <w:rFonts w:asciiTheme="minorHAnsi" w:hAnsiTheme="minorHAnsi"/>
          <w:color w:val="auto"/>
          <w:sz w:val="22"/>
          <w:szCs w:val="22"/>
        </w:rPr>
        <w:t>clarified</w:t>
      </w:r>
      <w:r w:rsidRPr="00F57D0B">
        <w:rPr>
          <w:rFonts w:asciiTheme="minorHAnsi" w:hAnsiTheme="minorHAnsi"/>
          <w:color w:val="auto"/>
          <w:sz w:val="22"/>
          <w:szCs w:val="22"/>
        </w:rPr>
        <w:t xml:space="preserve"> is the application of either ‘deemed to satisfy’ or ‘ALARP’ to high-rise residential.  And if ALARP is to apply, are the disproportion</w:t>
      </w:r>
      <w:r w:rsidR="00282555">
        <w:rPr>
          <w:rFonts w:asciiTheme="minorHAnsi" w:hAnsiTheme="minorHAnsi"/>
          <w:color w:val="auto"/>
          <w:sz w:val="22"/>
          <w:szCs w:val="22"/>
        </w:rPr>
        <w:t>ate</w:t>
      </w:r>
      <w:r w:rsidRPr="00F57D0B">
        <w:rPr>
          <w:rFonts w:asciiTheme="minorHAnsi" w:hAnsiTheme="minorHAnsi"/>
          <w:color w:val="auto"/>
          <w:sz w:val="22"/>
          <w:szCs w:val="22"/>
        </w:rPr>
        <w:t xml:space="preserve"> thresholds of between 3 and 10 times the value of preventing a fatality correct?  Is it </w:t>
      </w:r>
      <w:proofErr w:type="gramStart"/>
      <w:r w:rsidRPr="00F57D0B">
        <w:rPr>
          <w:rFonts w:asciiTheme="minorHAnsi" w:hAnsiTheme="minorHAnsi"/>
          <w:color w:val="auto"/>
          <w:sz w:val="22"/>
          <w:szCs w:val="22"/>
        </w:rPr>
        <w:t>actually the</w:t>
      </w:r>
      <w:proofErr w:type="gramEnd"/>
      <w:r w:rsidRPr="00F57D0B">
        <w:rPr>
          <w:rFonts w:asciiTheme="minorHAnsi" w:hAnsiTheme="minorHAnsi"/>
          <w:color w:val="auto"/>
          <w:sz w:val="22"/>
          <w:szCs w:val="22"/>
        </w:rPr>
        <w:t xml:space="preserve"> right way at all in the new safety case proposed – at Grenfell 10 times preventing a fatality would result in it not being adopted if </w:t>
      </w:r>
      <w:r w:rsidR="00282555">
        <w:rPr>
          <w:rFonts w:asciiTheme="minorHAnsi" w:hAnsiTheme="minorHAnsi"/>
          <w:color w:val="auto"/>
          <w:sz w:val="22"/>
          <w:szCs w:val="22"/>
        </w:rPr>
        <w:t>the</w:t>
      </w:r>
      <w:r w:rsidRPr="00F57D0B">
        <w:rPr>
          <w:rFonts w:asciiTheme="minorHAnsi" w:hAnsiTheme="minorHAnsi"/>
          <w:color w:val="auto"/>
          <w:sz w:val="22"/>
          <w:szCs w:val="22"/>
        </w:rPr>
        <w:t xml:space="preserve"> cost</w:t>
      </w:r>
      <w:r w:rsidR="00282555">
        <w:rPr>
          <w:rFonts w:asciiTheme="minorHAnsi" w:hAnsiTheme="minorHAnsi"/>
          <w:color w:val="auto"/>
          <w:sz w:val="22"/>
          <w:szCs w:val="22"/>
        </w:rPr>
        <w:t xml:space="preserve"> was</w:t>
      </w:r>
      <w:r w:rsidRPr="00F57D0B">
        <w:rPr>
          <w:rFonts w:asciiTheme="minorHAnsi" w:hAnsiTheme="minorHAnsi"/>
          <w:color w:val="auto"/>
          <w:sz w:val="22"/>
          <w:szCs w:val="22"/>
        </w:rPr>
        <w:t xml:space="preserve"> £1.4BN (using £2M per fatality).</w:t>
      </w:r>
    </w:p>
    <w:p w14:paraId="580BA211" w14:textId="77777777" w:rsidR="000D5585" w:rsidRDefault="000D5585" w:rsidP="00F57D0B">
      <w:pPr>
        <w:pStyle w:val="Default"/>
        <w:jc w:val="both"/>
        <w:rPr>
          <w:rFonts w:asciiTheme="minorHAnsi" w:hAnsiTheme="minorHAnsi"/>
          <w:color w:val="auto"/>
          <w:sz w:val="22"/>
          <w:szCs w:val="22"/>
        </w:rPr>
      </w:pPr>
    </w:p>
    <w:p w14:paraId="51554436" w14:textId="7235DA43" w:rsidR="00F57D0B" w:rsidRPr="00F57D0B" w:rsidRDefault="00F57D0B" w:rsidP="00F57D0B">
      <w:pPr>
        <w:pStyle w:val="Default"/>
        <w:jc w:val="both"/>
        <w:rPr>
          <w:rFonts w:asciiTheme="minorHAnsi" w:hAnsiTheme="minorHAnsi"/>
          <w:color w:val="auto"/>
          <w:sz w:val="22"/>
          <w:szCs w:val="22"/>
        </w:rPr>
      </w:pPr>
      <w:r w:rsidRPr="00F57D0B">
        <w:rPr>
          <w:rFonts w:asciiTheme="minorHAnsi" w:hAnsiTheme="minorHAnsi"/>
          <w:color w:val="auto"/>
          <w:sz w:val="22"/>
          <w:szCs w:val="22"/>
        </w:rPr>
        <w:t xml:space="preserve">What will the JCA change from BS-9991 and BS-7974?  How will JCA competency be assured?  The main benefit of the JCA is based on the interim </w:t>
      </w:r>
      <w:r w:rsidR="0087431B">
        <w:rPr>
          <w:rFonts w:asciiTheme="minorHAnsi" w:hAnsiTheme="minorHAnsi"/>
          <w:color w:val="auto"/>
          <w:sz w:val="22"/>
          <w:szCs w:val="22"/>
        </w:rPr>
        <w:t>Report</w:t>
      </w:r>
      <w:r w:rsidRPr="00F57D0B">
        <w:rPr>
          <w:rFonts w:asciiTheme="minorHAnsi" w:hAnsiTheme="minorHAnsi"/>
          <w:color w:val="auto"/>
          <w:sz w:val="22"/>
          <w:szCs w:val="22"/>
        </w:rPr>
        <w:t>’s excellent recommendations, which shrewdly drew out some key concerns relating to client power with respect to LABCs / AIs (also an issue in other countries reviewed) and the premise of a non-worsening condition not necessarily handing back a building which is ‘safe in case of fire’ – the words of the existing Building Regulations.</w:t>
      </w:r>
    </w:p>
    <w:p w14:paraId="4F26A3E2" w14:textId="77777777" w:rsidR="00F57D0B" w:rsidRPr="00F57D0B" w:rsidRDefault="00F57D0B" w:rsidP="00F57D0B">
      <w:pPr>
        <w:pStyle w:val="Default"/>
        <w:jc w:val="both"/>
        <w:rPr>
          <w:rFonts w:asciiTheme="minorHAnsi" w:hAnsiTheme="minorHAnsi"/>
          <w:color w:val="auto"/>
          <w:sz w:val="22"/>
          <w:szCs w:val="22"/>
        </w:rPr>
      </w:pPr>
    </w:p>
    <w:p w14:paraId="1C2C695D" w14:textId="77777777" w:rsidR="004D11CB" w:rsidRDefault="004D11CB" w:rsidP="00F57D0B">
      <w:pPr>
        <w:pStyle w:val="Default"/>
        <w:jc w:val="both"/>
        <w:rPr>
          <w:rFonts w:asciiTheme="minorHAnsi" w:hAnsiTheme="minorHAnsi"/>
          <w:color w:val="auto"/>
          <w:sz w:val="22"/>
          <w:szCs w:val="22"/>
        </w:rPr>
      </w:pPr>
    </w:p>
    <w:p w14:paraId="28B5545D" w14:textId="77777777" w:rsidR="004D11CB" w:rsidRDefault="004D11CB" w:rsidP="00F57D0B">
      <w:pPr>
        <w:pStyle w:val="Default"/>
        <w:jc w:val="both"/>
        <w:rPr>
          <w:rFonts w:asciiTheme="minorHAnsi" w:hAnsiTheme="minorHAnsi"/>
          <w:color w:val="auto"/>
          <w:sz w:val="22"/>
          <w:szCs w:val="22"/>
        </w:rPr>
      </w:pPr>
    </w:p>
    <w:p w14:paraId="1869EDE5" w14:textId="6ED2D153" w:rsidR="00F57D0B" w:rsidRPr="00F57D0B" w:rsidRDefault="00F57D0B" w:rsidP="00F57D0B">
      <w:pPr>
        <w:pStyle w:val="Default"/>
        <w:jc w:val="both"/>
        <w:rPr>
          <w:rFonts w:asciiTheme="minorHAnsi" w:hAnsiTheme="minorHAnsi"/>
          <w:color w:val="auto"/>
          <w:sz w:val="22"/>
          <w:szCs w:val="22"/>
        </w:rPr>
      </w:pPr>
      <w:r w:rsidRPr="00F57D0B">
        <w:rPr>
          <w:rFonts w:asciiTheme="minorHAnsi" w:hAnsiTheme="minorHAnsi"/>
          <w:color w:val="auto"/>
          <w:sz w:val="22"/>
          <w:szCs w:val="22"/>
        </w:rPr>
        <w:t xml:space="preserve">The building in use safety case is a good idea because many tower blocks are still run-down.  The intent of the JCA approach will meet reality and it will take a great deal of time to get all buildings over </w:t>
      </w:r>
      <w:r w:rsidR="00347DBB">
        <w:rPr>
          <w:rFonts w:asciiTheme="minorHAnsi" w:hAnsiTheme="minorHAnsi"/>
          <w:color w:val="auto"/>
          <w:sz w:val="22"/>
          <w:szCs w:val="22"/>
        </w:rPr>
        <w:t>10-</w:t>
      </w:r>
      <w:r w:rsidR="00347DBB" w:rsidRPr="00F57D0B">
        <w:rPr>
          <w:rFonts w:asciiTheme="minorHAnsi" w:hAnsiTheme="minorHAnsi"/>
          <w:color w:val="auto"/>
          <w:sz w:val="22"/>
          <w:szCs w:val="22"/>
        </w:rPr>
        <w:t xml:space="preserve"> </w:t>
      </w:r>
      <w:r w:rsidRPr="00F57D0B">
        <w:rPr>
          <w:rFonts w:asciiTheme="minorHAnsi" w:hAnsiTheme="minorHAnsi"/>
          <w:color w:val="auto"/>
          <w:sz w:val="22"/>
          <w:szCs w:val="22"/>
        </w:rPr>
        <w:t>stor</w:t>
      </w:r>
      <w:r w:rsidR="006155DE">
        <w:rPr>
          <w:rFonts w:asciiTheme="minorHAnsi" w:hAnsiTheme="minorHAnsi"/>
          <w:color w:val="auto"/>
          <w:sz w:val="22"/>
          <w:szCs w:val="22"/>
        </w:rPr>
        <w:t>ey</w:t>
      </w:r>
      <w:r w:rsidRPr="00F57D0B">
        <w:rPr>
          <w:rFonts w:asciiTheme="minorHAnsi" w:hAnsiTheme="minorHAnsi"/>
          <w:color w:val="auto"/>
          <w:sz w:val="22"/>
          <w:szCs w:val="22"/>
        </w:rPr>
        <w:t>s to an ALARP condition.  Providing this</w:t>
      </w:r>
      <w:r w:rsidR="00282555">
        <w:rPr>
          <w:rFonts w:asciiTheme="minorHAnsi" w:hAnsiTheme="minorHAnsi"/>
          <w:color w:val="auto"/>
          <w:sz w:val="22"/>
          <w:szCs w:val="22"/>
        </w:rPr>
        <w:t xml:space="preserve"> is</w:t>
      </w:r>
      <w:r w:rsidRPr="00F57D0B">
        <w:rPr>
          <w:rFonts w:asciiTheme="minorHAnsi" w:hAnsiTheme="minorHAnsi"/>
          <w:color w:val="auto"/>
          <w:sz w:val="22"/>
          <w:szCs w:val="22"/>
        </w:rPr>
        <w:t xml:space="preserve"> in electronic format </w:t>
      </w:r>
      <w:r w:rsidR="00282555">
        <w:rPr>
          <w:rFonts w:asciiTheme="minorHAnsi" w:hAnsiTheme="minorHAnsi"/>
          <w:color w:val="auto"/>
          <w:sz w:val="22"/>
          <w:szCs w:val="22"/>
        </w:rPr>
        <w:t xml:space="preserve">it </w:t>
      </w:r>
      <w:r w:rsidRPr="00F57D0B">
        <w:rPr>
          <w:rFonts w:asciiTheme="minorHAnsi" w:hAnsiTheme="minorHAnsi"/>
          <w:color w:val="auto"/>
          <w:sz w:val="22"/>
          <w:szCs w:val="22"/>
        </w:rPr>
        <w:t>is good because relevant parts can be uploaded to a cloud where residents have access.</w:t>
      </w:r>
    </w:p>
    <w:p w14:paraId="32D82709" w14:textId="77777777" w:rsidR="00F57D0B" w:rsidRPr="00F57D0B" w:rsidRDefault="00F57D0B" w:rsidP="00F57D0B">
      <w:pPr>
        <w:pStyle w:val="Default"/>
        <w:jc w:val="both"/>
        <w:rPr>
          <w:rFonts w:asciiTheme="minorHAnsi" w:hAnsiTheme="minorHAnsi"/>
          <w:color w:val="auto"/>
          <w:sz w:val="22"/>
          <w:szCs w:val="22"/>
        </w:rPr>
      </w:pPr>
    </w:p>
    <w:p w14:paraId="295E4AA1" w14:textId="77777777" w:rsidR="00F57D0B" w:rsidRPr="00F57D0B" w:rsidRDefault="00F57D0B" w:rsidP="00F57D0B">
      <w:pPr>
        <w:pStyle w:val="Default"/>
        <w:jc w:val="both"/>
        <w:rPr>
          <w:rFonts w:asciiTheme="minorHAnsi" w:hAnsiTheme="minorHAnsi"/>
          <w:color w:val="auto"/>
          <w:sz w:val="22"/>
          <w:szCs w:val="22"/>
        </w:rPr>
      </w:pPr>
      <w:r w:rsidRPr="00F57D0B">
        <w:rPr>
          <w:rFonts w:asciiTheme="minorHAnsi" w:hAnsiTheme="minorHAnsi"/>
          <w:color w:val="auto"/>
          <w:sz w:val="22"/>
          <w:szCs w:val="22"/>
        </w:rPr>
        <w:t>How will the overarching body in competence interface with professional institutions?</w:t>
      </w:r>
    </w:p>
    <w:p w14:paraId="2161CB78" w14:textId="77777777" w:rsidR="00F57D0B" w:rsidRPr="00F57D0B" w:rsidRDefault="00F57D0B" w:rsidP="00F57D0B">
      <w:pPr>
        <w:pStyle w:val="Default"/>
        <w:jc w:val="both"/>
        <w:rPr>
          <w:rFonts w:asciiTheme="minorHAnsi" w:hAnsiTheme="minorHAnsi"/>
          <w:color w:val="auto"/>
          <w:sz w:val="22"/>
          <w:szCs w:val="22"/>
        </w:rPr>
      </w:pPr>
    </w:p>
    <w:p w14:paraId="3FC79149" w14:textId="77777777" w:rsidR="00F57D0B" w:rsidRPr="00347DBB" w:rsidRDefault="00347DBB" w:rsidP="00F57D0B">
      <w:pPr>
        <w:pStyle w:val="Default"/>
        <w:jc w:val="both"/>
        <w:rPr>
          <w:rFonts w:asciiTheme="minorHAnsi" w:hAnsiTheme="minorHAnsi"/>
          <w:b/>
          <w:bCs/>
          <w:color w:val="auto"/>
          <w:sz w:val="28"/>
          <w:szCs w:val="28"/>
        </w:rPr>
      </w:pPr>
      <w:r w:rsidRPr="00347DBB">
        <w:rPr>
          <w:rFonts w:asciiTheme="minorHAnsi" w:hAnsiTheme="minorHAnsi"/>
          <w:b/>
          <w:bCs/>
          <w:color w:val="auto"/>
          <w:sz w:val="28"/>
          <w:szCs w:val="28"/>
        </w:rPr>
        <w:t>Chapter One</w:t>
      </w:r>
    </w:p>
    <w:p w14:paraId="661D7D6D" w14:textId="7B5BD775" w:rsidR="00F57D0B" w:rsidRPr="00F57D0B" w:rsidRDefault="00F57D0B" w:rsidP="00F57D0B">
      <w:pPr>
        <w:pStyle w:val="Default"/>
        <w:jc w:val="both"/>
        <w:rPr>
          <w:rFonts w:asciiTheme="minorHAnsi" w:hAnsiTheme="minorHAnsi"/>
          <w:color w:val="auto"/>
          <w:sz w:val="22"/>
          <w:szCs w:val="22"/>
        </w:rPr>
      </w:pPr>
      <w:r w:rsidRPr="00F57D0B">
        <w:rPr>
          <w:rFonts w:asciiTheme="minorHAnsi" w:hAnsiTheme="minorHAnsi"/>
          <w:color w:val="auto"/>
          <w:sz w:val="22"/>
          <w:szCs w:val="22"/>
        </w:rPr>
        <w:t xml:space="preserve">Recommendation 1.1 – HRRBs should </w:t>
      </w:r>
      <w:proofErr w:type="gramStart"/>
      <w:r w:rsidRPr="00F57D0B">
        <w:rPr>
          <w:rFonts w:asciiTheme="minorHAnsi" w:hAnsiTheme="minorHAnsi"/>
          <w:color w:val="auto"/>
          <w:sz w:val="22"/>
          <w:szCs w:val="22"/>
        </w:rPr>
        <w:t>take into account</w:t>
      </w:r>
      <w:proofErr w:type="gramEnd"/>
      <w:r w:rsidRPr="00F57D0B">
        <w:rPr>
          <w:rFonts w:asciiTheme="minorHAnsi" w:hAnsiTheme="minorHAnsi"/>
          <w:color w:val="auto"/>
          <w:sz w:val="22"/>
          <w:szCs w:val="22"/>
        </w:rPr>
        <w:t xml:space="preserve"> occupancy profile</w:t>
      </w:r>
      <w:r w:rsidR="00282555">
        <w:rPr>
          <w:rFonts w:asciiTheme="minorHAnsi" w:hAnsiTheme="minorHAnsi"/>
          <w:color w:val="auto"/>
          <w:sz w:val="22"/>
          <w:szCs w:val="22"/>
        </w:rPr>
        <w:t>s</w:t>
      </w:r>
      <w:r w:rsidRPr="00F57D0B">
        <w:rPr>
          <w:rFonts w:asciiTheme="minorHAnsi" w:hAnsiTheme="minorHAnsi"/>
          <w:color w:val="auto"/>
          <w:sz w:val="22"/>
          <w:szCs w:val="22"/>
        </w:rPr>
        <w:t>, layout complexity (wayfinding), means of escape capacity and if alternative escape is available, smoke control/sprinkler provisions.  Some buildings of 8 or 9 stor</w:t>
      </w:r>
      <w:r w:rsidR="00572304">
        <w:rPr>
          <w:rFonts w:asciiTheme="minorHAnsi" w:hAnsiTheme="minorHAnsi"/>
          <w:color w:val="auto"/>
          <w:sz w:val="22"/>
          <w:szCs w:val="22"/>
        </w:rPr>
        <w:t>ey</w:t>
      </w:r>
      <w:r w:rsidRPr="00F57D0B">
        <w:rPr>
          <w:rFonts w:asciiTheme="minorHAnsi" w:hAnsiTheme="minorHAnsi"/>
          <w:color w:val="auto"/>
          <w:sz w:val="22"/>
          <w:szCs w:val="22"/>
        </w:rPr>
        <w:t xml:space="preserve">s might </w:t>
      </w:r>
      <w:r w:rsidR="006155DE">
        <w:rPr>
          <w:rFonts w:asciiTheme="minorHAnsi" w:hAnsiTheme="minorHAnsi"/>
          <w:color w:val="auto"/>
          <w:sz w:val="22"/>
          <w:szCs w:val="22"/>
        </w:rPr>
        <w:t xml:space="preserve">not </w:t>
      </w:r>
      <w:r w:rsidRPr="00F57D0B">
        <w:rPr>
          <w:rFonts w:asciiTheme="minorHAnsi" w:hAnsiTheme="minorHAnsi"/>
          <w:color w:val="auto"/>
          <w:sz w:val="22"/>
          <w:szCs w:val="22"/>
        </w:rPr>
        <w:t>be as safe as those of 40 stor</w:t>
      </w:r>
      <w:r w:rsidR="00572304">
        <w:rPr>
          <w:rFonts w:asciiTheme="minorHAnsi" w:hAnsiTheme="minorHAnsi"/>
          <w:color w:val="auto"/>
          <w:sz w:val="22"/>
          <w:szCs w:val="22"/>
        </w:rPr>
        <w:t>ey</w:t>
      </w:r>
      <w:r w:rsidRPr="00F57D0B">
        <w:rPr>
          <w:rFonts w:asciiTheme="minorHAnsi" w:hAnsiTheme="minorHAnsi"/>
          <w:color w:val="auto"/>
          <w:sz w:val="22"/>
          <w:szCs w:val="22"/>
        </w:rPr>
        <w:t>s.  Compartmentation in both should be available.  A single criterion is not a suitable way to trigger the need for the JCA.</w:t>
      </w:r>
    </w:p>
    <w:p w14:paraId="1461AB9F" w14:textId="77777777" w:rsidR="00F57D0B" w:rsidRPr="00F57D0B" w:rsidRDefault="00F57D0B" w:rsidP="00F57D0B">
      <w:pPr>
        <w:pStyle w:val="Default"/>
        <w:jc w:val="both"/>
        <w:rPr>
          <w:rFonts w:asciiTheme="minorHAnsi" w:hAnsiTheme="minorHAnsi"/>
          <w:color w:val="auto"/>
          <w:sz w:val="22"/>
          <w:szCs w:val="22"/>
        </w:rPr>
      </w:pPr>
    </w:p>
    <w:p w14:paraId="0201B142" w14:textId="77777777" w:rsidR="00F57D0B" w:rsidRPr="00F57D0B" w:rsidRDefault="00F57D0B" w:rsidP="00F57D0B">
      <w:pPr>
        <w:pStyle w:val="Default"/>
        <w:jc w:val="both"/>
        <w:rPr>
          <w:rFonts w:asciiTheme="minorHAnsi" w:hAnsiTheme="minorHAnsi"/>
          <w:color w:val="auto"/>
          <w:sz w:val="22"/>
          <w:szCs w:val="22"/>
        </w:rPr>
      </w:pPr>
      <w:r w:rsidRPr="00F57D0B">
        <w:rPr>
          <w:rFonts w:asciiTheme="minorHAnsi" w:hAnsiTheme="minorHAnsi"/>
          <w:color w:val="auto"/>
          <w:sz w:val="22"/>
          <w:szCs w:val="22"/>
        </w:rPr>
        <w:t>1.8 – regulatory streamlining during design and management in use is welcomed.</w:t>
      </w:r>
    </w:p>
    <w:p w14:paraId="15F9D0D3" w14:textId="77777777" w:rsidR="00F57D0B" w:rsidRPr="00F57D0B" w:rsidRDefault="00F57D0B" w:rsidP="00F57D0B">
      <w:pPr>
        <w:pStyle w:val="Default"/>
        <w:jc w:val="both"/>
        <w:rPr>
          <w:rFonts w:asciiTheme="minorHAnsi" w:hAnsiTheme="minorHAnsi"/>
          <w:color w:val="auto"/>
          <w:sz w:val="22"/>
          <w:szCs w:val="22"/>
        </w:rPr>
      </w:pPr>
    </w:p>
    <w:p w14:paraId="2BCCE9B3" w14:textId="77FCA49F" w:rsidR="00F57D0B" w:rsidRPr="00F57D0B" w:rsidRDefault="00F57D0B" w:rsidP="00F57D0B">
      <w:pPr>
        <w:pStyle w:val="Default"/>
        <w:jc w:val="both"/>
        <w:rPr>
          <w:rFonts w:asciiTheme="minorHAnsi" w:hAnsiTheme="minorHAnsi"/>
          <w:color w:val="auto"/>
          <w:sz w:val="22"/>
          <w:szCs w:val="22"/>
        </w:rPr>
      </w:pPr>
      <w:r w:rsidRPr="00F57D0B">
        <w:rPr>
          <w:rFonts w:asciiTheme="minorHAnsi" w:hAnsiTheme="minorHAnsi"/>
          <w:color w:val="auto"/>
          <w:sz w:val="22"/>
          <w:szCs w:val="22"/>
        </w:rPr>
        <w:t>JCA in action – the model needs to include assessment of bespoke details that might vary from ADB Robust Details that are already approved.  A detailed knowledge of testing standards, their interaction and equivalency particularly for products tested to other national standards, is essential.</w:t>
      </w:r>
    </w:p>
    <w:p w14:paraId="6F2E4799" w14:textId="77777777" w:rsidR="00F57D0B" w:rsidRPr="00F57D0B" w:rsidRDefault="00F57D0B" w:rsidP="00F57D0B">
      <w:pPr>
        <w:pStyle w:val="Default"/>
        <w:jc w:val="both"/>
        <w:rPr>
          <w:rFonts w:asciiTheme="minorHAnsi" w:hAnsiTheme="minorHAnsi"/>
          <w:color w:val="auto"/>
          <w:sz w:val="22"/>
          <w:szCs w:val="22"/>
        </w:rPr>
      </w:pPr>
    </w:p>
    <w:p w14:paraId="5D7DB509" w14:textId="0D65988C" w:rsidR="00F57D0B" w:rsidRPr="00F57D0B" w:rsidRDefault="00F57D0B" w:rsidP="00F57D0B">
      <w:pPr>
        <w:pStyle w:val="Default"/>
        <w:jc w:val="both"/>
        <w:rPr>
          <w:rFonts w:asciiTheme="minorHAnsi" w:hAnsiTheme="minorHAnsi"/>
          <w:color w:val="auto"/>
          <w:sz w:val="22"/>
          <w:szCs w:val="22"/>
        </w:rPr>
      </w:pPr>
      <w:r w:rsidRPr="00F57D0B">
        <w:rPr>
          <w:rFonts w:asciiTheme="minorHAnsi" w:hAnsiTheme="minorHAnsi"/>
          <w:color w:val="auto"/>
          <w:sz w:val="22"/>
          <w:szCs w:val="22"/>
        </w:rPr>
        <w:t xml:space="preserve">1.18 – Schedule 1 is not a set of siloed requirements – it is </w:t>
      </w:r>
      <w:r w:rsidR="00572304">
        <w:rPr>
          <w:rFonts w:asciiTheme="minorHAnsi" w:hAnsiTheme="minorHAnsi"/>
          <w:color w:val="auto"/>
          <w:sz w:val="22"/>
          <w:szCs w:val="22"/>
        </w:rPr>
        <w:t xml:space="preserve">the </w:t>
      </w:r>
      <w:r w:rsidRPr="00F57D0B">
        <w:rPr>
          <w:rFonts w:asciiTheme="minorHAnsi" w:hAnsiTheme="minorHAnsi"/>
          <w:color w:val="auto"/>
          <w:sz w:val="22"/>
          <w:szCs w:val="22"/>
        </w:rPr>
        <w:t xml:space="preserve">process that is at fault.  The </w:t>
      </w:r>
      <w:r w:rsidR="0087431B">
        <w:rPr>
          <w:rFonts w:asciiTheme="minorHAnsi" w:hAnsiTheme="minorHAnsi"/>
          <w:color w:val="auto"/>
          <w:sz w:val="22"/>
          <w:szCs w:val="22"/>
        </w:rPr>
        <w:t>Report</w:t>
      </w:r>
      <w:r w:rsidRPr="00F57D0B">
        <w:rPr>
          <w:rFonts w:asciiTheme="minorHAnsi" w:hAnsiTheme="minorHAnsi"/>
          <w:color w:val="auto"/>
          <w:sz w:val="22"/>
          <w:szCs w:val="22"/>
        </w:rPr>
        <w:t xml:space="preserve"> is right that improved interfacing is needed.  Recommendation 1.3 is right that the Approved Documents need integrating to read consistently.</w:t>
      </w:r>
    </w:p>
    <w:p w14:paraId="3A970F3C" w14:textId="77777777" w:rsidR="00F57D0B" w:rsidRPr="00F57D0B" w:rsidRDefault="00F57D0B" w:rsidP="00F57D0B">
      <w:pPr>
        <w:pStyle w:val="Default"/>
        <w:jc w:val="both"/>
        <w:rPr>
          <w:rFonts w:asciiTheme="minorHAnsi" w:hAnsiTheme="minorHAnsi"/>
          <w:color w:val="auto"/>
          <w:sz w:val="22"/>
          <w:szCs w:val="22"/>
        </w:rPr>
      </w:pPr>
    </w:p>
    <w:p w14:paraId="50303907" w14:textId="77777777" w:rsidR="00F57D0B" w:rsidRPr="00F57D0B" w:rsidRDefault="00F57D0B" w:rsidP="00F57D0B">
      <w:pPr>
        <w:pStyle w:val="Default"/>
        <w:jc w:val="both"/>
        <w:rPr>
          <w:rFonts w:asciiTheme="minorHAnsi" w:hAnsiTheme="minorHAnsi"/>
          <w:color w:val="auto"/>
          <w:sz w:val="22"/>
          <w:szCs w:val="22"/>
        </w:rPr>
      </w:pPr>
      <w:r w:rsidRPr="00F57D0B">
        <w:rPr>
          <w:rFonts w:asciiTheme="minorHAnsi" w:hAnsiTheme="minorHAnsi"/>
          <w:color w:val="auto"/>
          <w:sz w:val="22"/>
          <w:szCs w:val="22"/>
        </w:rPr>
        <w:t>1.21 – How is the outcomes approach different to Schedule 1?</w:t>
      </w:r>
    </w:p>
    <w:p w14:paraId="65089F47" w14:textId="77777777" w:rsidR="00F57D0B" w:rsidRPr="00F57D0B" w:rsidRDefault="00F57D0B" w:rsidP="00F57D0B">
      <w:pPr>
        <w:pStyle w:val="Default"/>
        <w:jc w:val="both"/>
        <w:rPr>
          <w:rFonts w:asciiTheme="minorHAnsi" w:hAnsiTheme="minorHAnsi"/>
          <w:color w:val="auto"/>
          <w:sz w:val="22"/>
          <w:szCs w:val="22"/>
        </w:rPr>
      </w:pPr>
    </w:p>
    <w:p w14:paraId="16D3498D" w14:textId="77777777" w:rsidR="00F57D0B" w:rsidRPr="00F57D0B" w:rsidRDefault="00F57D0B" w:rsidP="00F57D0B">
      <w:pPr>
        <w:pStyle w:val="Default"/>
        <w:jc w:val="both"/>
        <w:rPr>
          <w:rFonts w:asciiTheme="minorHAnsi" w:hAnsiTheme="minorHAnsi"/>
          <w:color w:val="auto"/>
          <w:sz w:val="22"/>
          <w:szCs w:val="22"/>
        </w:rPr>
      </w:pPr>
      <w:r w:rsidRPr="00F57D0B">
        <w:rPr>
          <w:rFonts w:asciiTheme="minorHAnsi" w:hAnsiTheme="minorHAnsi"/>
          <w:color w:val="auto"/>
          <w:sz w:val="22"/>
          <w:szCs w:val="22"/>
        </w:rPr>
        <w:t>1.26 – Defence in Depth is right, and over reliance on a single measure is correct – high-rise tower blocks only have a single line of defence: compartmentation.  Odd though, that a single criterion is used to define the need for the JCA and HRRBs.</w:t>
      </w:r>
    </w:p>
    <w:p w14:paraId="42B96922" w14:textId="77777777" w:rsidR="00F57D0B" w:rsidRPr="00F57D0B" w:rsidRDefault="00F57D0B" w:rsidP="00F57D0B">
      <w:pPr>
        <w:pStyle w:val="Default"/>
        <w:jc w:val="both"/>
        <w:rPr>
          <w:rFonts w:asciiTheme="minorHAnsi" w:hAnsiTheme="minorHAnsi"/>
          <w:color w:val="auto"/>
          <w:sz w:val="22"/>
          <w:szCs w:val="22"/>
        </w:rPr>
      </w:pPr>
    </w:p>
    <w:p w14:paraId="5E031F0E" w14:textId="0D99DBD9" w:rsidR="00F57D0B" w:rsidRPr="00F57D0B" w:rsidRDefault="00F57D0B" w:rsidP="00F57D0B">
      <w:pPr>
        <w:pStyle w:val="Default"/>
        <w:jc w:val="both"/>
        <w:rPr>
          <w:rFonts w:asciiTheme="minorHAnsi" w:hAnsiTheme="minorHAnsi"/>
          <w:color w:val="auto"/>
          <w:sz w:val="22"/>
          <w:szCs w:val="22"/>
        </w:rPr>
      </w:pPr>
      <w:r w:rsidRPr="00F57D0B">
        <w:rPr>
          <w:rFonts w:asciiTheme="minorHAnsi" w:hAnsiTheme="minorHAnsi"/>
          <w:color w:val="auto"/>
          <w:sz w:val="22"/>
          <w:szCs w:val="22"/>
        </w:rPr>
        <w:t>1.32 – The CAA model is proportionate for HRRBs – it will be interesting</w:t>
      </w:r>
      <w:r w:rsidR="00572304">
        <w:rPr>
          <w:rFonts w:asciiTheme="minorHAnsi" w:hAnsiTheme="minorHAnsi"/>
          <w:color w:val="auto"/>
          <w:sz w:val="22"/>
          <w:szCs w:val="22"/>
        </w:rPr>
        <w:t xml:space="preserve"> to see</w:t>
      </w:r>
      <w:r w:rsidRPr="00F57D0B">
        <w:rPr>
          <w:rFonts w:asciiTheme="minorHAnsi" w:hAnsiTheme="minorHAnsi"/>
          <w:color w:val="auto"/>
          <w:sz w:val="22"/>
          <w:szCs w:val="22"/>
        </w:rPr>
        <w:t xml:space="preserve"> how the HRRB </w:t>
      </w:r>
      <w:r w:rsidR="00572304">
        <w:rPr>
          <w:rFonts w:asciiTheme="minorHAnsi" w:hAnsiTheme="minorHAnsi"/>
          <w:color w:val="auto"/>
          <w:sz w:val="22"/>
          <w:szCs w:val="22"/>
        </w:rPr>
        <w:t>a</w:t>
      </w:r>
      <w:r w:rsidRPr="00F57D0B">
        <w:rPr>
          <w:rFonts w:asciiTheme="minorHAnsi" w:hAnsiTheme="minorHAnsi"/>
          <w:color w:val="auto"/>
          <w:sz w:val="22"/>
          <w:szCs w:val="22"/>
        </w:rPr>
        <w:t>ffects an industry mindset with so many different stakeholders.  Airports find it easier due to a controlled environment, large workforces and funding.</w:t>
      </w:r>
    </w:p>
    <w:p w14:paraId="38CB56E5" w14:textId="77777777" w:rsidR="00F57D0B" w:rsidRPr="00F57D0B" w:rsidRDefault="00F57D0B" w:rsidP="00F57D0B">
      <w:pPr>
        <w:pStyle w:val="Default"/>
        <w:jc w:val="both"/>
        <w:rPr>
          <w:rFonts w:asciiTheme="minorHAnsi" w:hAnsiTheme="minorHAnsi"/>
          <w:color w:val="auto"/>
          <w:sz w:val="22"/>
          <w:szCs w:val="22"/>
        </w:rPr>
      </w:pPr>
    </w:p>
    <w:p w14:paraId="6BD15DDD" w14:textId="77777777" w:rsidR="00F57D0B" w:rsidRPr="00347DBB" w:rsidRDefault="00347DBB" w:rsidP="00F57D0B">
      <w:pPr>
        <w:pStyle w:val="Default"/>
        <w:jc w:val="both"/>
        <w:rPr>
          <w:rFonts w:asciiTheme="minorHAnsi" w:hAnsiTheme="minorHAnsi"/>
          <w:b/>
          <w:bCs/>
          <w:color w:val="auto"/>
          <w:sz w:val="28"/>
          <w:szCs w:val="28"/>
        </w:rPr>
      </w:pPr>
      <w:r w:rsidRPr="00347DBB">
        <w:rPr>
          <w:rFonts w:asciiTheme="minorHAnsi" w:hAnsiTheme="minorHAnsi"/>
          <w:b/>
          <w:bCs/>
          <w:color w:val="auto"/>
          <w:sz w:val="28"/>
          <w:szCs w:val="28"/>
        </w:rPr>
        <w:t>Chapter Two</w:t>
      </w:r>
    </w:p>
    <w:p w14:paraId="5A0ADCD9" w14:textId="77777777" w:rsidR="00F57D0B" w:rsidRPr="00F57D0B" w:rsidRDefault="00F57D0B" w:rsidP="00F57D0B">
      <w:pPr>
        <w:pStyle w:val="Default"/>
        <w:jc w:val="both"/>
        <w:rPr>
          <w:rFonts w:asciiTheme="minorHAnsi" w:hAnsiTheme="minorHAnsi"/>
          <w:color w:val="auto"/>
          <w:sz w:val="22"/>
          <w:szCs w:val="22"/>
        </w:rPr>
      </w:pPr>
      <w:r w:rsidRPr="00F57D0B">
        <w:rPr>
          <w:rFonts w:asciiTheme="minorHAnsi" w:hAnsiTheme="minorHAnsi"/>
          <w:color w:val="auto"/>
          <w:sz w:val="22"/>
          <w:szCs w:val="22"/>
        </w:rPr>
        <w:t xml:space="preserve">2.3 – Life cycle approach is welcomed with a baton relay approach as proposed. </w:t>
      </w:r>
    </w:p>
    <w:p w14:paraId="6DC74A85" w14:textId="77777777" w:rsidR="00F57D0B" w:rsidRPr="00F57D0B" w:rsidRDefault="00F57D0B" w:rsidP="00F57D0B">
      <w:pPr>
        <w:pStyle w:val="Default"/>
        <w:jc w:val="both"/>
        <w:rPr>
          <w:rFonts w:asciiTheme="minorHAnsi" w:hAnsiTheme="minorHAnsi"/>
          <w:color w:val="auto"/>
          <w:sz w:val="22"/>
          <w:szCs w:val="22"/>
        </w:rPr>
      </w:pPr>
    </w:p>
    <w:p w14:paraId="1182BA6B" w14:textId="77777777" w:rsidR="00F57D0B" w:rsidRPr="00F57D0B" w:rsidRDefault="00F57D0B" w:rsidP="00F57D0B">
      <w:pPr>
        <w:pStyle w:val="Default"/>
        <w:jc w:val="both"/>
        <w:rPr>
          <w:rFonts w:asciiTheme="minorHAnsi" w:hAnsiTheme="minorHAnsi"/>
          <w:color w:val="auto"/>
          <w:sz w:val="22"/>
          <w:szCs w:val="22"/>
        </w:rPr>
      </w:pPr>
      <w:r w:rsidRPr="00F57D0B">
        <w:rPr>
          <w:rFonts w:asciiTheme="minorHAnsi" w:hAnsiTheme="minorHAnsi"/>
          <w:color w:val="auto"/>
          <w:sz w:val="22"/>
          <w:szCs w:val="22"/>
        </w:rPr>
        <w:t>Table 3 – where does the Safety Case interface with the key information products?</w:t>
      </w:r>
    </w:p>
    <w:p w14:paraId="5F365623" w14:textId="77777777" w:rsidR="00F57D0B" w:rsidRPr="00F57D0B" w:rsidRDefault="00F57D0B" w:rsidP="00F57D0B">
      <w:pPr>
        <w:pStyle w:val="Default"/>
        <w:jc w:val="both"/>
        <w:rPr>
          <w:rFonts w:asciiTheme="minorHAnsi" w:hAnsiTheme="minorHAnsi"/>
          <w:color w:val="auto"/>
          <w:sz w:val="22"/>
          <w:szCs w:val="22"/>
        </w:rPr>
      </w:pPr>
    </w:p>
    <w:p w14:paraId="4293708E" w14:textId="77777777" w:rsidR="00F57D0B" w:rsidRPr="00F57D0B" w:rsidRDefault="00F57D0B" w:rsidP="00F57D0B">
      <w:pPr>
        <w:pStyle w:val="Default"/>
        <w:jc w:val="both"/>
        <w:rPr>
          <w:rFonts w:asciiTheme="minorHAnsi" w:hAnsiTheme="minorHAnsi"/>
          <w:color w:val="auto"/>
          <w:sz w:val="22"/>
          <w:szCs w:val="22"/>
        </w:rPr>
      </w:pPr>
      <w:r w:rsidRPr="00F57D0B">
        <w:rPr>
          <w:rFonts w:asciiTheme="minorHAnsi" w:hAnsiTheme="minorHAnsi"/>
          <w:color w:val="auto"/>
          <w:sz w:val="22"/>
          <w:szCs w:val="22"/>
        </w:rPr>
        <w:t xml:space="preserve">Table 4, Gateway 2 – this needs to mention the QDR process for ensuring substitute products and value engineering is assessed by competent persons.  The QDR audit trail is essential for the Safety Case audit trail.  </w:t>
      </w:r>
    </w:p>
    <w:p w14:paraId="2D51CA62" w14:textId="77777777" w:rsidR="00F57D0B" w:rsidRPr="00F57D0B" w:rsidRDefault="00F57D0B" w:rsidP="00F57D0B">
      <w:pPr>
        <w:pStyle w:val="Default"/>
        <w:jc w:val="both"/>
        <w:rPr>
          <w:rFonts w:asciiTheme="minorHAnsi" w:hAnsiTheme="minorHAnsi"/>
          <w:color w:val="auto"/>
          <w:sz w:val="22"/>
          <w:szCs w:val="22"/>
        </w:rPr>
      </w:pPr>
    </w:p>
    <w:p w14:paraId="35CDE06D" w14:textId="77777777" w:rsidR="00F57D0B" w:rsidRPr="00F57D0B" w:rsidRDefault="00F57D0B" w:rsidP="00F57D0B">
      <w:pPr>
        <w:pStyle w:val="Default"/>
        <w:jc w:val="both"/>
        <w:rPr>
          <w:rFonts w:asciiTheme="minorHAnsi" w:hAnsiTheme="minorHAnsi"/>
          <w:color w:val="auto"/>
          <w:sz w:val="22"/>
          <w:szCs w:val="22"/>
        </w:rPr>
      </w:pPr>
      <w:r w:rsidRPr="00F57D0B">
        <w:rPr>
          <w:rFonts w:asciiTheme="minorHAnsi" w:hAnsiTheme="minorHAnsi"/>
          <w:color w:val="auto"/>
          <w:sz w:val="22"/>
          <w:szCs w:val="22"/>
        </w:rPr>
        <w:t xml:space="preserve">2.26 – Gateways points are fully supported. The high end of the industry already achieves this, particularly in the mass transportation and power industries. </w:t>
      </w:r>
    </w:p>
    <w:p w14:paraId="38740F00" w14:textId="77777777" w:rsidR="000D5585" w:rsidRDefault="000D5585" w:rsidP="00F57D0B">
      <w:pPr>
        <w:pStyle w:val="Default"/>
        <w:jc w:val="both"/>
        <w:rPr>
          <w:rFonts w:asciiTheme="minorHAnsi" w:hAnsiTheme="minorHAnsi"/>
          <w:color w:val="auto"/>
          <w:sz w:val="22"/>
          <w:szCs w:val="22"/>
        </w:rPr>
      </w:pPr>
    </w:p>
    <w:p w14:paraId="577051B5" w14:textId="77777777" w:rsidR="00F57D0B" w:rsidRPr="00F57D0B" w:rsidRDefault="00F57D0B" w:rsidP="00F57D0B">
      <w:pPr>
        <w:pStyle w:val="Default"/>
        <w:jc w:val="both"/>
        <w:rPr>
          <w:rFonts w:asciiTheme="minorHAnsi" w:hAnsiTheme="minorHAnsi"/>
          <w:color w:val="auto"/>
          <w:sz w:val="22"/>
          <w:szCs w:val="22"/>
        </w:rPr>
      </w:pPr>
      <w:r w:rsidRPr="00F57D0B">
        <w:rPr>
          <w:rFonts w:asciiTheme="minorHAnsi" w:hAnsiTheme="minorHAnsi"/>
          <w:color w:val="auto"/>
          <w:sz w:val="22"/>
          <w:szCs w:val="22"/>
        </w:rPr>
        <w:t xml:space="preserve">Recommendation 2.7 is especially good and should apply to a wider range of buildings.  Despite CDM, record keeping is poor. </w:t>
      </w:r>
    </w:p>
    <w:p w14:paraId="0AFB7D60" w14:textId="77777777" w:rsidR="00F57D0B" w:rsidRPr="00F57D0B" w:rsidRDefault="00F57D0B" w:rsidP="00F57D0B">
      <w:pPr>
        <w:pStyle w:val="Default"/>
        <w:jc w:val="both"/>
        <w:rPr>
          <w:rFonts w:asciiTheme="minorHAnsi" w:hAnsiTheme="minorHAnsi"/>
          <w:color w:val="auto"/>
          <w:sz w:val="22"/>
          <w:szCs w:val="22"/>
        </w:rPr>
      </w:pPr>
    </w:p>
    <w:p w14:paraId="6F0D4550" w14:textId="77777777" w:rsidR="004D11CB" w:rsidRDefault="004D11CB">
      <w:pPr>
        <w:spacing w:after="160" w:line="259" w:lineRule="auto"/>
        <w:rPr>
          <w:rFonts w:asciiTheme="minorHAnsi" w:hAnsiTheme="minorHAnsi" w:cs="Calibri"/>
          <w:lang w:eastAsia="en-US"/>
        </w:rPr>
      </w:pPr>
      <w:r>
        <w:rPr>
          <w:rFonts w:asciiTheme="minorHAnsi" w:hAnsiTheme="minorHAnsi"/>
        </w:rPr>
        <w:br w:type="page"/>
      </w:r>
    </w:p>
    <w:p w14:paraId="1DBC7EFE" w14:textId="77777777" w:rsidR="004D11CB" w:rsidRDefault="004D11CB" w:rsidP="00F57D0B">
      <w:pPr>
        <w:pStyle w:val="Default"/>
        <w:jc w:val="both"/>
        <w:rPr>
          <w:rFonts w:asciiTheme="minorHAnsi" w:hAnsiTheme="minorHAnsi"/>
          <w:color w:val="auto"/>
          <w:sz w:val="22"/>
          <w:szCs w:val="22"/>
        </w:rPr>
      </w:pPr>
    </w:p>
    <w:p w14:paraId="6D057F93" w14:textId="6B28F7EF" w:rsidR="00F57D0B" w:rsidRPr="00F57D0B" w:rsidRDefault="00F57D0B" w:rsidP="00F57D0B">
      <w:pPr>
        <w:pStyle w:val="Default"/>
        <w:jc w:val="both"/>
        <w:rPr>
          <w:rFonts w:asciiTheme="minorHAnsi" w:hAnsiTheme="minorHAnsi"/>
          <w:color w:val="auto"/>
          <w:sz w:val="22"/>
          <w:szCs w:val="22"/>
        </w:rPr>
      </w:pPr>
      <w:r w:rsidRPr="00F57D0B">
        <w:rPr>
          <w:rFonts w:asciiTheme="minorHAnsi" w:hAnsiTheme="minorHAnsi"/>
          <w:color w:val="auto"/>
          <w:sz w:val="22"/>
          <w:szCs w:val="22"/>
        </w:rPr>
        <w:t>Recommendation 2.9 – The purpose of the QDR process is to notify regulators of change in projects.  It would be good for this to be recognised</w:t>
      </w:r>
      <w:r w:rsidR="00572304">
        <w:rPr>
          <w:rFonts w:asciiTheme="minorHAnsi" w:hAnsiTheme="minorHAnsi"/>
          <w:color w:val="auto"/>
          <w:sz w:val="22"/>
          <w:szCs w:val="22"/>
        </w:rPr>
        <w:t xml:space="preserve"> and widely adopted</w:t>
      </w:r>
      <w:r w:rsidRPr="00F57D0B">
        <w:rPr>
          <w:rFonts w:asciiTheme="minorHAnsi" w:hAnsiTheme="minorHAnsi"/>
          <w:color w:val="auto"/>
          <w:sz w:val="22"/>
          <w:szCs w:val="22"/>
        </w:rPr>
        <w:t>.</w:t>
      </w:r>
    </w:p>
    <w:p w14:paraId="06FC10FC" w14:textId="77777777" w:rsidR="00F57D0B" w:rsidRPr="00F57D0B" w:rsidRDefault="00F57D0B" w:rsidP="00F57D0B">
      <w:pPr>
        <w:pStyle w:val="Default"/>
        <w:jc w:val="both"/>
        <w:rPr>
          <w:rFonts w:asciiTheme="minorHAnsi" w:hAnsiTheme="minorHAnsi"/>
          <w:color w:val="auto"/>
          <w:sz w:val="22"/>
          <w:szCs w:val="22"/>
        </w:rPr>
      </w:pPr>
    </w:p>
    <w:p w14:paraId="0F243A4A" w14:textId="77777777" w:rsidR="00F57D0B" w:rsidRPr="00F57D0B" w:rsidRDefault="00F57D0B" w:rsidP="00F57D0B">
      <w:pPr>
        <w:pStyle w:val="Default"/>
        <w:jc w:val="both"/>
        <w:rPr>
          <w:rFonts w:asciiTheme="minorHAnsi" w:hAnsiTheme="minorHAnsi"/>
          <w:color w:val="auto"/>
          <w:sz w:val="22"/>
          <w:szCs w:val="22"/>
        </w:rPr>
      </w:pPr>
      <w:r w:rsidRPr="00F57D0B">
        <w:rPr>
          <w:rFonts w:asciiTheme="minorHAnsi" w:hAnsiTheme="minorHAnsi"/>
          <w:color w:val="auto"/>
          <w:sz w:val="22"/>
          <w:szCs w:val="22"/>
        </w:rPr>
        <w:t xml:space="preserve">2.46 – </w:t>
      </w:r>
      <w:proofErr w:type="gramStart"/>
      <w:r w:rsidRPr="00F57D0B">
        <w:rPr>
          <w:rFonts w:asciiTheme="minorHAnsi" w:hAnsiTheme="minorHAnsi"/>
          <w:color w:val="auto"/>
          <w:sz w:val="22"/>
          <w:szCs w:val="22"/>
        </w:rPr>
        <w:t>This needs</w:t>
      </w:r>
      <w:proofErr w:type="gramEnd"/>
      <w:r w:rsidRPr="00F57D0B">
        <w:rPr>
          <w:rFonts w:asciiTheme="minorHAnsi" w:hAnsiTheme="minorHAnsi"/>
          <w:color w:val="auto"/>
          <w:sz w:val="22"/>
          <w:szCs w:val="22"/>
        </w:rPr>
        <w:t xml:space="preserve"> be to managed carefully – the FRA need reasonable grounds for rejecting plans and consistency needs to be improved so that project teams understand the rules of engagement with the JCA to be successful.  Dispute resolution is interesting: BCOs can presently overrule fire officers.  Who will be the new executive in the arbitration process?  Can this change be practically limited to HRRBs?  It is suggested that an independent Design Verification Engineer (DVE) applies an enhanced version of the Common Safety Method (CSM) to assess the plans, audit trail, nature of dispute and expectations of management for the building in use to deliver a decision.  Timescales are very important, so the early engagement of the DVE when dispute is likely is very important.</w:t>
      </w:r>
    </w:p>
    <w:p w14:paraId="7BDCD8D5" w14:textId="77777777" w:rsidR="00F57D0B" w:rsidRPr="00F57D0B" w:rsidRDefault="00F57D0B" w:rsidP="00F57D0B">
      <w:pPr>
        <w:pStyle w:val="Default"/>
        <w:jc w:val="both"/>
        <w:rPr>
          <w:rFonts w:asciiTheme="minorHAnsi" w:hAnsiTheme="minorHAnsi"/>
          <w:color w:val="auto"/>
          <w:sz w:val="22"/>
          <w:szCs w:val="22"/>
        </w:rPr>
      </w:pPr>
    </w:p>
    <w:p w14:paraId="62776D2C" w14:textId="77777777" w:rsidR="00F57D0B" w:rsidRPr="00F57D0B" w:rsidRDefault="00F57D0B" w:rsidP="00F57D0B">
      <w:pPr>
        <w:pStyle w:val="Default"/>
        <w:jc w:val="both"/>
        <w:rPr>
          <w:rFonts w:asciiTheme="minorHAnsi" w:hAnsiTheme="minorHAnsi"/>
          <w:color w:val="auto"/>
          <w:sz w:val="22"/>
          <w:szCs w:val="22"/>
        </w:rPr>
      </w:pPr>
      <w:r w:rsidRPr="00F57D0B">
        <w:rPr>
          <w:rFonts w:asciiTheme="minorHAnsi" w:hAnsiTheme="minorHAnsi"/>
          <w:color w:val="auto"/>
          <w:sz w:val="22"/>
          <w:szCs w:val="22"/>
        </w:rPr>
        <w:t>2.51 – It is suggested the notice terminology is made consistent with the Regulatory Reform (Fire Safety) Order (RRO).  In fact, the RRO could be updated to reflect the emphasis proposed.</w:t>
      </w:r>
    </w:p>
    <w:p w14:paraId="1AA40C53" w14:textId="77777777" w:rsidR="00F57D0B" w:rsidRPr="00F57D0B" w:rsidRDefault="00F57D0B" w:rsidP="00F57D0B">
      <w:pPr>
        <w:pStyle w:val="Default"/>
        <w:jc w:val="both"/>
        <w:rPr>
          <w:rFonts w:asciiTheme="minorHAnsi" w:hAnsiTheme="minorHAnsi"/>
          <w:color w:val="auto"/>
          <w:sz w:val="22"/>
          <w:szCs w:val="22"/>
        </w:rPr>
      </w:pPr>
    </w:p>
    <w:p w14:paraId="22798FBD" w14:textId="77777777" w:rsidR="00F57D0B" w:rsidRPr="00F57D0B" w:rsidRDefault="00F57D0B" w:rsidP="00F57D0B">
      <w:pPr>
        <w:pStyle w:val="Default"/>
        <w:jc w:val="both"/>
        <w:rPr>
          <w:rFonts w:asciiTheme="minorHAnsi" w:hAnsiTheme="minorHAnsi"/>
          <w:color w:val="auto"/>
          <w:sz w:val="22"/>
          <w:szCs w:val="22"/>
        </w:rPr>
      </w:pPr>
      <w:r w:rsidRPr="00F57D0B">
        <w:rPr>
          <w:rFonts w:asciiTheme="minorHAnsi" w:hAnsiTheme="minorHAnsi"/>
          <w:color w:val="auto"/>
          <w:sz w:val="22"/>
          <w:szCs w:val="22"/>
        </w:rPr>
        <w:t xml:space="preserve">Recommendation 2.14 – this might disincentivise </w:t>
      </w:r>
      <w:proofErr w:type="gramStart"/>
      <w:r w:rsidRPr="00F57D0B">
        <w:rPr>
          <w:rFonts w:asciiTheme="minorHAnsi" w:hAnsiTheme="minorHAnsi"/>
          <w:color w:val="auto"/>
          <w:sz w:val="22"/>
          <w:szCs w:val="22"/>
        </w:rPr>
        <w:t>works, or</w:t>
      </w:r>
      <w:proofErr w:type="gramEnd"/>
      <w:r w:rsidRPr="00F57D0B">
        <w:rPr>
          <w:rFonts w:asciiTheme="minorHAnsi" w:hAnsiTheme="minorHAnsi"/>
          <w:color w:val="auto"/>
          <w:sz w:val="22"/>
          <w:szCs w:val="22"/>
        </w:rPr>
        <w:t xml:space="preserve"> delay them.  For example, fire door replacement should not instigate a full safety case review otherwise it might be delayed.  The triggers should be thought through very carefully, as should be the HRRB definition of 10-storeys or over.</w:t>
      </w:r>
    </w:p>
    <w:p w14:paraId="2C8C195B" w14:textId="77777777" w:rsidR="00F57D0B" w:rsidRPr="00F57D0B" w:rsidRDefault="00F57D0B" w:rsidP="00F57D0B">
      <w:pPr>
        <w:pStyle w:val="Default"/>
        <w:jc w:val="both"/>
        <w:rPr>
          <w:rFonts w:asciiTheme="minorHAnsi" w:hAnsiTheme="minorHAnsi"/>
          <w:color w:val="auto"/>
          <w:sz w:val="22"/>
          <w:szCs w:val="22"/>
        </w:rPr>
      </w:pPr>
    </w:p>
    <w:p w14:paraId="15B58DC8" w14:textId="77777777" w:rsidR="00F57D0B" w:rsidRPr="00347DBB" w:rsidRDefault="00347DBB" w:rsidP="00F57D0B">
      <w:pPr>
        <w:pStyle w:val="Default"/>
        <w:jc w:val="both"/>
        <w:rPr>
          <w:rFonts w:asciiTheme="minorHAnsi" w:hAnsiTheme="minorHAnsi"/>
          <w:b/>
          <w:color w:val="auto"/>
          <w:sz w:val="28"/>
          <w:szCs w:val="28"/>
        </w:rPr>
      </w:pPr>
      <w:r w:rsidRPr="00347DBB">
        <w:rPr>
          <w:rFonts w:asciiTheme="minorHAnsi" w:hAnsiTheme="minorHAnsi"/>
          <w:b/>
          <w:color w:val="auto"/>
          <w:sz w:val="28"/>
          <w:szCs w:val="28"/>
        </w:rPr>
        <w:t>Chapter Three</w:t>
      </w:r>
    </w:p>
    <w:p w14:paraId="710CDD56" w14:textId="77777777" w:rsidR="00F57D0B" w:rsidRPr="00F57D0B" w:rsidRDefault="00F57D0B" w:rsidP="00F57D0B">
      <w:pPr>
        <w:pStyle w:val="Default"/>
        <w:jc w:val="both"/>
        <w:rPr>
          <w:rFonts w:asciiTheme="minorHAnsi" w:hAnsiTheme="minorHAnsi"/>
          <w:color w:val="auto"/>
          <w:sz w:val="22"/>
          <w:szCs w:val="22"/>
        </w:rPr>
      </w:pPr>
      <w:r w:rsidRPr="00F57D0B">
        <w:rPr>
          <w:rFonts w:asciiTheme="minorHAnsi" w:hAnsiTheme="minorHAnsi"/>
          <w:color w:val="auto"/>
          <w:sz w:val="22"/>
          <w:szCs w:val="22"/>
        </w:rPr>
        <w:t>3.3 – It is more likely than unregulated work inside a dwelling can cause risk.  This is well noted.</w:t>
      </w:r>
    </w:p>
    <w:p w14:paraId="1594287A" w14:textId="77777777" w:rsidR="00F57D0B" w:rsidRPr="00F57D0B" w:rsidRDefault="00F57D0B" w:rsidP="00F57D0B">
      <w:pPr>
        <w:pStyle w:val="Default"/>
        <w:jc w:val="both"/>
        <w:rPr>
          <w:rFonts w:asciiTheme="minorHAnsi" w:hAnsiTheme="minorHAnsi"/>
          <w:color w:val="auto"/>
          <w:sz w:val="22"/>
          <w:szCs w:val="22"/>
        </w:rPr>
      </w:pPr>
    </w:p>
    <w:p w14:paraId="6FE18A16" w14:textId="5C5FFBB4" w:rsidR="00F57D0B" w:rsidRPr="00F57D0B" w:rsidRDefault="00F57D0B" w:rsidP="00F57D0B">
      <w:pPr>
        <w:pStyle w:val="Default"/>
        <w:jc w:val="both"/>
        <w:rPr>
          <w:rFonts w:asciiTheme="minorHAnsi" w:hAnsiTheme="minorHAnsi"/>
          <w:color w:val="auto"/>
          <w:sz w:val="22"/>
          <w:szCs w:val="22"/>
        </w:rPr>
      </w:pPr>
      <w:r w:rsidRPr="00F57D0B">
        <w:rPr>
          <w:rFonts w:asciiTheme="minorHAnsi" w:hAnsiTheme="minorHAnsi"/>
          <w:color w:val="auto"/>
          <w:sz w:val="22"/>
          <w:szCs w:val="22"/>
        </w:rPr>
        <w:t xml:space="preserve">3.4 - The fire risk assessment of tower blocks only covers the common areas.  Gas engineers can enter homes – no mention is made of improving power of inspection so that residents do not pose disproportionate risk to others.  Whilst it is noted that this issue is appraised in paragraphs 3.100 to 3.129 of the interim </w:t>
      </w:r>
      <w:r w:rsidR="0087431B">
        <w:rPr>
          <w:rFonts w:asciiTheme="minorHAnsi" w:hAnsiTheme="minorHAnsi"/>
          <w:color w:val="auto"/>
          <w:sz w:val="22"/>
          <w:szCs w:val="22"/>
        </w:rPr>
        <w:t>Report</w:t>
      </w:r>
      <w:r w:rsidRPr="00F57D0B">
        <w:rPr>
          <w:rFonts w:asciiTheme="minorHAnsi" w:hAnsiTheme="minorHAnsi"/>
          <w:color w:val="auto"/>
          <w:sz w:val="22"/>
          <w:szCs w:val="22"/>
        </w:rPr>
        <w:t xml:space="preserve">, the recommendation is posed as a problem rather than a solution.  Why isn’t this final </w:t>
      </w:r>
      <w:r w:rsidR="0087431B">
        <w:rPr>
          <w:rFonts w:asciiTheme="minorHAnsi" w:hAnsiTheme="minorHAnsi"/>
          <w:color w:val="auto"/>
          <w:sz w:val="22"/>
          <w:szCs w:val="22"/>
        </w:rPr>
        <w:t>Report</w:t>
      </w:r>
      <w:r w:rsidRPr="00F57D0B">
        <w:rPr>
          <w:rFonts w:asciiTheme="minorHAnsi" w:hAnsiTheme="minorHAnsi"/>
          <w:color w:val="auto"/>
          <w:sz w:val="22"/>
          <w:szCs w:val="22"/>
        </w:rPr>
        <w:t xml:space="preserve"> more forthright in carrying out power of inspection to give a full fire risk assessment of a building (common parts of and flats)?</w:t>
      </w:r>
    </w:p>
    <w:p w14:paraId="3A7B6FEB" w14:textId="77777777" w:rsidR="00F57D0B" w:rsidRPr="00F57D0B" w:rsidRDefault="00F57D0B" w:rsidP="00F57D0B">
      <w:pPr>
        <w:pStyle w:val="Default"/>
        <w:jc w:val="both"/>
        <w:rPr>
          <w:rFonts w:asciiTheme="minorHAnsi" w:hAnsiTheme="minorHAnsi"/>
          <w:color w:val="auto"/>
          <w:sz w:val="22"/>
          <w:szCs w:val="22"/>
        </w:rPr>
      </w:pPr>
    </w:p>
    <w:p w14:paraId="7AC03F5B" w14:textId="77777777" w:rsidR="00F57D0B" w:rsidRPr="00F57D0B" w:rsidRDefault="00F57D0B" w:rsidP="00F57D0B">
      <w:pPr>
        <w:pStyle w:val="Default"/>
        <w:jc w:val="both"/>
        <w:rPr>
          <w:rFonts w:asciiTheme="minorHAnsi" w:hAnsiTheme="minorHAnsi"/>
          <w:color w:val="auto"/>
          <w:sz w:val="22"/>
          <w:szCs w:val="22"/>
        </w:rPr>
      </w:pPr>
      <w:r w:rsidRPr="00F57D0B">
        <w:rPr>
          <w:rFonts w:asciiTheme="minorHAnsi" w:hAnsiTheme="minorHAnsi"/>
          <w:color w:val="auto"/>
          <w:sz w:val="22"/>
          <w:szCs w:val="22"/>
        </w:rPr>
        <w:t>3.20 – Information at handover (Regulation 38) needs beefing up across the board.  CDM has not delivered in this area and thus it is reasonable to be sceptical about the new JCA.  What will the Safety Case mentality and Safety Case requirements deliver?  If successful, why not bolster CDM for the whole industry?</w:t>
      </w:r>
    </w:p>
    <w:p w14:paraId="3C4B7B06" w14:textId="77777777" w:rsidR="00F57D0B" w:rsidRPr="00F57D0B" w:rsidRDefault="00F57D0B" w:rsidP="00F57D0B">
      <w:pPr>
        <w:pStyle w:val="Default"/>
        <w:jc w:val="both"/>
        <w:rPr>
          <w:rFonts w:asciiTheme="minorHAnsi" w:hAnsiTheme="minorHAnsi"/>
          <w:color w:val="auto"/>
          <w:sz w:val="22"/>
          <w:szCs w:val="22"/>
        </w:rPr>
      </w:pPr>
    </w:p>
    <w:p w14:paraId="36BB5D7D" w14:textId="0C702D41" w:rsidR="00F57D0B" w:rsidRPr="00F57D0B" w:rsidRDefault="00F57D0B" w:rsidP="00F57D0B">
      <w:pPr>
        <w:pStyle w:val="Default"/>
        <w:jc w:val="both"/>
        <w:rPr>
          <w:rFonts w:asciiTheme="minorHAnsi" w:hAnsiTheme="minorHAnsi"/>
          <w:color w:val="auto"/>
          <w:sz w:val="22"/>
          <w:szCs w:val="22"/>
        </w:rPr>
      </w:pPr>
      <w:r w:rsidRPr="00F57D0B">
        <w:rPr>
          <w:rFonts w:asciiTheme="minorHAnsi" w:hAnsiTheme="minorHAnsi"/>
          <w:color w:val="auto"/>
          <w:sz w:val="22"/>
          <w:szCs w:val="22"/>
        </w:rPr>
        <w:t>3.30 – This paragraph recommends that home owners</w:t>
      </w:r>
      <w:r w:rsidR="00572304">
        <w:rPr>
          <w:rFonts w:asciiTheme="minorHAnsi" w:hAnsiTheme="minorHAnsi"/>
          <w:color w:val="auto"/>
          <w:sz w:val="22"/>
          <w:szCs w:val="22"/>
        </w:rPr>
        <w:t>’</w:t>
      </w:r>
      <w:r w:rsidRPr="00F57D0B">
        <w:rPr>
          <w:rFonts w:asciiTheme="minorHAnsi" w:hAnsiTheme="minorHAnsi"/>
          <w:color w:val="auto"/>
          <w:sz w:val="22"/>
          <w:szCs w:val="22"/>
        </w:rPr>
        <w:t xml:space="preserve"> flats are included in the FRA process.  This is welcome</w:t>
      </w:r>
      <w:r w:rsidR="00347DBB">
        <w:rPr>
          <w:rFonts w:asciiTheme="minorHAnsi" w:hAnsiTheme="minorHAnsi"/>
          <w:color w:val="auto"/>
          <w:sz w:val="22"/>
          <w:szCs w:val="22"/>
        </w:rPr>
        <w:t>d</w:t>
      </w:r>
      <w:r w:rsidRPr="00F57D0B">
        <w:rPr>
          <w:rFonts w:asciiTheme="minorHAnsi" w:hAnsiTheme="minorHAnsi"/>
          <w:color w:val="auto"/>
          <w:sz w:val="22"/>
          <w:szCs w:val="22"/>
        </w:rPr>
        <w:t xml:space="preserve"> but tenants must have legal responsibilities to permit entry too, and enforcement actions if they pose a threat / fire risk to others in the same building.  Some organisations operate a three strikes and out policy already.</w:t>
      </w:r>
    </w:p>
    <w:p w14:paraId="4CFE42C0" w14:textId="77777777" w:rsidR="00F57D0B" w:rsidRPr="00F57D0B" w:rsidRDefault="00F57D0B" w:rsidP="00F57D0B">
      <w:pPr>
        <w:pStyle w:val="Default"/>
        <w:jc w:val="both"/>
        <w:rPr>
          <w:rFonts w:asciiTheme="minorHAnsi" w:hAnsiTheme="minorHAnsi"/>
          <w:color w:val="auto"/>
          <w:sz w:val="22"/>
          <w:szCs w:val="22"/>
        </w:rPr>
      </w:pPr>
    </w:p>
    <w:p w14:paraId="51539E62" w14:textId="77777777" w:rsidR="00F57D0B" w:rsidRPr="00F57D0B" w:rsidRDefault="00F57D0B" w:rsidP="00F57D0B">
      <w:pPr>
        <w:pStyle w:val="Default"/>
        <w:jc w:val="both"/>
        <w:rPr>
          <w:rFonts w:asciiTheme="minorHAnsi" w:hAnsiTheme="minorHAnsi"/>
          <w:color w:val="auto"/>
          <w:sz w:val="22"/>
          <w:szCs w:val="22"/>
        </w:rPr>
      </w:pPr>
      <w:r w:rsidRPr="00F57D0B">
        <w:rPr>
          <w:rFonts w:asciiTheme="minorHAnsi" w:hAnsiTheme="minorHAnsi"/>
          <w:color w:val="auto"/>
          <w:sz w:val="22"/>
          <w:szCs w:val="22"/>
        </w:rPr>
        <w:t xml:space="preserve">3.34 – the safety case contents are a bit light.  Why is there no mention of the fire alarm cause and effect (or systems in general), fire strategy, building material details and changes to them, quantification of fire loads and adequacy of compartmentation levels, etc.  There is a lot to transfer and interpret into an HRRB safety case from other sectors.  </w:t>
      </w:r>
    </w:p>
    <w:p w14:paraId="0FEFFF41" w14:textId="77777777" w:rsidR="00F57D0B" w:rsidRPr="00F57D0B" w:rsidRDefault="00F57D0B" w:rsidP="00F57D0B">
      <w:pPr>
        <w:pStyle w:val="Default"/>
        <w:jc w:val="both"/>
        <w:rPr>
          <w:rFonts w:asciiTheme="minorHAnsi" w:hAnsiTheme="minorHAnsi"/>
          <w:color w:val="auto"/>
          <w:sz w:val="22"/>
          <w:szCs w:val="22"/>
        </w:rPr>
      </w:pPr>
    </w:p>
    <w:p w14:paraId="76F64B96" w14:textId="5A120B3A" w:rsidR="00F57D0B" w:rsidRPr="00F57D0B" w:rsidRDefault="00F57D0B" w:rsidP="00F57D0B">
      <w:pPr>
        <w:pStyle w:val="Default"/>
        <w:jc w:val="both"/>
        <w:rPr>
          <w:rFonts w:asciiTheme="minorHAnsi" w:hAnsiTheme="minorHAnsi"/>
          <w:color w:val="auto"/>
          <w:sz w:val="22"/>
          <w:szCs w:val="22"/>
        </w:rPr>
      </w:pPr>
      <w:r w:rsidRPr="00F57D0B">
        <w:rPr>
          <w:rFonts w:asciiTheme="minorHAnsi" w:hAnsiTheme="minorHAnsi"/>
          <w:color w:val="auto"/>
          <w:sz w:val="22"/>
          <w:szCs w:val="22"/>
        </w:rPr>
        <w:t xml:space="preserve">3.42 – the residents need to be educated about fire safety before interrogating fire safety information (we note that clause 4.26 notes funding to achieve this).  They can participate in a handover QDR workshop to support learning about the specifics of their building.  Education is important to support </w:t>
      </w:r>
      <w:proofErr w:type="gramStart"/>
      <w:r w:rsidRPr="00F57D0B">
        <w:rPr>
          <w:rFonts w:asciiTheme="minorHAnsi" w:hAnsiTheme="minorHAnsi"/>
          <w:color w:val="auto"/>
          <w:sz w:val="22"/>
          <w:szCs w:val="22"/>
        </w:rPr>
        <w:t>residents  be</w:t>
      </w:r>
      <w:r w:rsidR="00572304">
        <w:rPr>
          <w:rFonts w:asciiTheme="minorHAnsi" w:hAnsiTheme="minorHAnsi"/>
          <w:color w:val="auto"/>
          <w:sz w:val="22"/>
          <w:szCs w:val="22"/>
        </w:rPr>
        <w:t>ing</w:t>
      </w:r>
      <w:proofErr w:type="gramEnd"/>
      <w:r w:rsidRPr="00F57D0B">
        <w:rPr>
          <w:rFonts w:asciiTheme="minorHAnsi" w:hAnsiTheme="minorHAnsi"/>
          <w:color w:val="auto"/>
          <w:sz w:val="22"/>
          <w:szCs w:val="22"/>
        </w:rPr>
        <w:t xml:space="preserve"> pro-active – otherwise they might overlook a defect, not realising it to be one.</w:t>
      </w:r>
    </w:p>
    <w:p w14:paraId="61BEC3CF" w14:textId="77777777" w:rsidR="00F57D0B" w:rsidRPr="00F57D0B" w:rsidRDefault="00F57D0B" w:rsidP="00F57D0B">
      <w:pPr>
        <w:pStyle w:val="Default"/>
        <w:jc w:val="both"/>
        <w:rPr>
          <w:rFonts w:asciiTheme="minorHAnsi" w:hAnsiTheme="minorHAnsi"/>
          <w:color w:val="auto"/>
          <w:sz w:val="22"/>
          <w:szCs w:val="22"/>
        </w:rPr>
      </w:pPr>
    </w:p>
    <w:p w14:paraId="6E6AC206" w14:textId="05861E35" w:rsidR="00F57D0B" w:rsidRPr="00F57D0B" w:rsidRDefault="00F57D0B" w:rsidP="00F57D0B">
      <w:pPr>
        <w:pStyle w:val="Default"/>
        <w:jc w:val="both"/>
        <w:rPr>
          <w:rFonts w:asciiTheme="minorHAnsi" w:hAnsiTheme="minorHAnsi"/>
          <w:color w:val="auto"/>
          <w:sz w:val="22"/>
          <w:szCs w:val="22"/>
        </w:rPr>
      </w:pPr>
      <w:r w:rsidRPr="00F57D0B">
        <w:rPr>
          <w:rFonts w:asciiTheme="minorHAnsi" w:hAnsiTheme="minorHAnsi"/>
          <w:color w:val="auto"/>
          <w:sz w:val="22"/>
          <w:szCs w:val="22"/>
        </w:rPr>
        <w:t>3.46 – will this ‘co-operation’ between tenants have legal teeth if they do</w:t>
      </w:r>
      <w:r w:rsidR="00347DBB">
        <w:rPr>
          <w:rFonts w:asciiTheme="minorHAnsi" w:hAnsiTheme="minorHAnsi"/>
          <w:color w:val="auto"/>
          <w:sz w:val="22"/>
          <w:szCs w:val="22"/>
        </w:rPr>
        <w:t xml:space="preserve"> </w:t>
      </w:r>
      <w:r w:rsidRPr="00F57D0B">
        <w:rPr>
          <w:rFonts w:asciiTheme="minorHAnsi" w:hAnsiTheme="minorHAnsi"/>
          <w:color w:val="auto"/>
          <w:sz w:val="22"/>
          <w:szCs w:val="22"/>
        </w:rPr>
        <w:t>n</w:t>
      </w:r>
      <w:r w:rsidR="00347DBB">
        <w:rPr>
          <w:rFonts w:asciiTheme="minorHAnsi" w:hAnsiTheme="minorHAnsi"/>
          <w:color w:val="auto"/>
          <w:sz w:val="22"/>
          <w:szCs w:val="22"/>
        </w:rPr>
        <w:t>o</w:t>
      </w:r>
      <w:r w:rsidRPr="00F57D0B">
        <w:rPr>
          <w:rFonts w:asciiTheme="minorHAnsi" w:hAnsiTheme="minorHAnsi"/>
          <w:color w:val="auto"/>
          <w:sz w:val="22"/>
          <w:szCs w:val="22"/>
        </w:rPr>
        <w:t xml:space="preserve">t </w:t>
      </w:r>
      <w:r w:rsidR="00347DBB">
        <w:rPr>
          <w:rFonts w:asciiTheme="minorHAnsi" w:hAnsiTheme="minorHAnsi"/>
          <w:color w:val="auto"/>
          <w:sz w:val="22"/>
          <w:szCs w:val="22"/>
        </w:rPr>
        <w:t>comply</w:t>
      </w:r>
      <w:r w:rsidRPr="00F57D0B">
        <w:rPr>
          <w:rFonts w:asciiTheme="minorHAnsi" w:hAnsiTheme="minorHAnsi"/>
          <w:color w:val="auto"/>
          <w:sz w:val="22"/>
          <w:szCs w:val="22"/>
        </w:rPr>
        <w:t>?</w:t>
      </w:r>
    </w:p>
    <w:p w14:paraId="10A25A9E" w14:textId="77777777" w:rsidR="00F57D0B" w:rsidRPr="00F57D0B" w:rsidRDefault="00F57D0B" w:rsidP="00F57D0B">
      <w:pPr>
        <w:pStyle w:val="Default"/>
        <w:jc w:val="both"/>
        <w:rPr>
          <w:rFonts w:asciiTheme="minorHAnsi" w:hAnsiTheme="minorHAnsi"/>
          <w:color w:val="auto"/>
          <w:sz w:val="22"/>
          <w:szCs w:val="22"/>
        </w:rPr>
      </w:pPr>
    </w:p>
    <w:p w14:paraId="0A9F9045" w14:textId="77777777" w:rsidR="004D11CB" w:rsidRDefault="004D11CB" w:rsidP="00F57D0B">
      <w:pPr>
        <w:pStyle w:val="Default"/>
        <w:jc w:val="both"/>
        <w:rPr>
          <w:rFonts w:asciiTheme="minorHAnsi" w:hAnsiTheme="minorHAnsi"/>
          <w:color w:val="auto"/>
          <w:sz w:val="22"/>
          <w:szCs w:val="22"/>
        </w:rPr>
      </w:pPr>
    </w:p>
    <w:p w14:paraId="71F35F68" w14:textId="77777777" w:rsidR="004D11CB" w:rsidRDefault="004D11CB" w:rsidP="00F57D0B">
      <w:pPr>
        <w:pStyle w:val="Default"/>
        <w:jc w:val="both"/>
        <w:rPr>
          <w:rFonts w:asciiTheme="minorHAnsi" w:hAnsiTheme="minorHAnsi"/>
          <w:color w:val="auto"/>
          <w:sz w:val="22"/>
          <w:szCs w:val="22"/>
        </w:rPr>
      </w:pPr>
    </w:p>
    <w:p w14:paraId="3F7B0B62" w14:textId="266E5659" w:rsidR="00F57D0B" w:rsidRPr="00F57D0B" w:rsidRDefault="00F57D0B" w:rsidP="00F57D0B">
      <w:pPr>
        <w:pStyle w:val="Default"/>
        <w:jc w:val="both"/>
        <w:rPr>
          <w:rFonts w:asciiTheme="minorHAnsi" w:hAnsiTheme="minorHAnsi"/>
          <w:color w:val="auto"/>
          <w:sz w:val="22"/>
          <w:szCs w:val="22"/>
        </w:rPr>
      </w:pPr>
      <w:r w:rsidRPr="00F57D0B">
        <w:rPr>
          <w:rFonts w:asciiTheme="minorHAnsi" w:hAnsiTheme="minorHAnsi"/>
          <w:color w:val="auto"/>
          <w:sz w:val="22"/>
          <w:szCs w:val="22"/>
        </w:rPr>
        <w:t>3.57 – this reads as though the JCA will have obligations under Part A – Structure, and Part B – Fire Safety.  Is this intended, or is the review aimed at structural response to fire?</w:t>
      </w:r>
    </w:p>
    <w:p w14:paraId="128DEA63" w14:textId="77777777" w:rsidR="004D11CB" w:rsidRDefault="004D11CB" w:rsidP="00F57D0B">
      <w:pPr>
        <w:pStyle w:val="Default"/>
        <w:jc w:val="both"/>
        <w:rPr>
          <w:rFonts w:asciiTheme="minorHAnsi" w:hAnsiTheme="minorHAnsi"/>
          <w:color w:val="auto"/>
          <w:sz w:val="22"/>
          <w:szCs w:val="22"/>
        </w:rPr>
      </w:pPr>
    </w:p>
    <w:p w14:paraId="6C0461AE" w14:textId="38F10D09" w:rsidR="00F57D0B" w:rsidRPr="00F57D0B" w:rsidRDefault="00F57D0B" w:rsidP="00F57D0B">
      <w:pPr>
        <w:pStyle w:val="Default"/>
        <w:jc w:val="both"/>
        <w:rPr>
          <w:rFonts w:asciiTheme="minorHAnsi" w:hAnsiTheme="minorHAnsi"/>
          <w:color w:val="auto"/>
          <w:sz w:val="22"/>
          <w:szCs w:val="22"/>
        </w:rPr>
      </w:pPr>
      <w:r w:rsidRPr="00F57D0B">
        <w:rPr>
          <w:rFonts w:asciiTheme="minorHAnsi" w:hAnsiTheme="minorHAnsi"/>
          <w:color w:val="auto"/>
          <w:sz w:val="22"/>
          <w:szCs w:val="22"/>
        </w:rPr>
        <w:t xml:space="preserve">3.58 – this paragraph implicitly highlights the risk of a single criterion for HRRBs – lower buildings could have more risk than higher ones.  This should be re-visited.  Paragraph 3.59 reinforces this view: the position is not clear about what minimum requirements are expected, although a QDR process would help. </w:t>
      </w:r>
    </w:p>
    <w:p w14:paraId="7F2445C5" w14:textId="77777777" w:rsidR="00F57D0B" w:rsidRPr="00F57D0B" w:rsidRDefault="00F57D0B" w:rsidP="00F57D0B">
      <w:pPr>
        <w:pStyle w:val="Default"/>
        <w:jc w:val="both"/>
        <w:rPr>
          <w:rFonts w:asciiTheme="minorHAnsi" w:hAnsiTheme="minorHAnsi"/>
          <w:color w:val="auto"/>
          <w:sz w:val="22"/>
          <w:szCs w:val="22"/>
        </w:rPr>
      </w:pPr>
    </w:p>
    <w:p w14:paraId="2D95969F" w14:textId="77777777" w:rsidR="00F57D0B" w:rsidRPr="00F57D0B" w:rsidRDefault="00F57D0B" w:rsidP="00F57D0B">
      <w:pPr>
        <w:pStyle w:val="Default"/>
        <w:jc w:val="both"/>
        <w:rPr>
          <w:rFonts w:asciiTheme="minorHAnsi" w:hAnsiTheme="minorHAnsi"/>
          <w:color w:val="auto"/>
          <w:sz w:val="22"/>
          <w:szCs w:val="22"/>
        </w:rPr>
      </w:pPr>
      <w:r w:rsidRPr="00F57D0B">
        <w:rPr>
          <w:rFonts w:asciiTheme="minorHAnsi" w:hAnsiTheme="minorHAnsi"/>
          <w:color w:val="auto"/>
          <w:sz w:val="22"/>
          <w:szCs w:val="22"/>
        </w:rPr>
        <w:t>Recommendation 3.8: what sanctions are foreseen?  Can this be more explicit?</w:t>
      </w:r>
    </w:p>
    <w:p w14:paraId="5EC01592" w14:textId="77777777" w:rsidR="00F57D0B" w:rsidRPr="00F57D0B" w:rsidRDefault="00F57D0B" w:rsidP="00F57D0B">
      <w:pPr>
        <w:pStyle w:val="Default"/>
        <w:jc w:val="both"/>
        <w:rPr>
          <w:rFonts w:asciiTheme="minorHAnsi" w:hAnsiTheme="minorHAnsi"/>
          <w:color w:val="auto"/>
          <w:sz w:val="22"/>
          <w:szCs w:val="22"/>
        </w:rPr>
      </w:pPr>
    </w:p>
    <w:p w14:paraId="0A086AA4" w14:textId="77777777" w:rsidR="00F57D0B" w:rsidRPr="00347DBB" w:rsidRDefault="00347DBB" w:rsidP="00F57D0B">
      <w:pPr>
        <w:pStyle w:val="Default"/>
        <w:jc w:val="both"/>
        <w:rPr>
          <w:rFonts w:asciiTheme="minorHAnsi" w:hAnsiTheme="minorHAnsi"/>
          <w:b/>
          <w:color w:val="auto"/>
          <w:sz w:val="28"/>
          <w:szCs w:val="28"/>
        </w:rPr>
      </w:pPr>
      <w:r w:rsidRPr="00347DBB">
        <w:rPr>
          <w:rFonts w:asciiTheme="minorHAnsi" w:hAnsiTheme="minorHAnsi"/>
          <w:b/>
          <w:color w:val="auto"/>
          <w:sz w:val="28"/>
          <w:szCs w:val="28"/>
        </w:rPr>
        <w:t>Chapter Four</w:t>
      </w:r>
    </w:p>
    <w:p w14:paraId="7FEFDEEE" w14:textId="670CB2D3" w:rsidR="00F57D0B" w:rsidRPr="00F57D0B" w:rsidRDefault="00F57D0B" w:rsidP="00F57D0B">
      <w:pPr>
        <w:pStyle w:val="Default"/>
        <w:jc w:val="both"/>
        <w:rPr>
          <w:rFonts w:asciiTheme="minorHAnsi" w:hAnsiTheme="minorHAnsi"/>
          <w:color w:val="auto"/>
          <w:sz w:val="22"/>
          <w:szCs w:val="22"/>
        </w:rPr>
      </w:pPr>
      <w:r w:rsidRPr="00F57D0B">
        <w:rPr>
          <w:rFonts w:asciiTheme="minorHAnsi" w:hAnsiTheme="minorHAnsi"/>
          <w:color w:val="auto"/>
          <w:sz w:val="22"/>
          <w:szCs w:val="22"/>
        </w:rPr>
        <w:t>4.5 – schools have governors – normally just parents and teachers.  It is evident that a similar forum should be instigated for the residents</w:t>
      </w:r>
      <w:r w:rsidR="00572304">
        <w:rPr>
          <w:rFonts w:asciiTheme="minorHAnsi" w:hAnsiTheme="minorHAnsi"/>
          <w:color w:val="auto"/>
          <w:sz w:val="22"/>
          <w:szCs w:val="22"/>
        </w:rPr>
        <w:t>’</w:t>
      </w:r>
      <w:r w:rsidRPr="00F57D0B">
        <w:rPr>
          <w:rFonts w:asciiTheme="minorHAnsi" w:hAnsiTheme="minorHAnsi"/>
          <w:color w:val="auto"/>
          <w:sz w:val="22"/>
          <w:szCs w:val="22"/>
        </w:rPr>
        <w:t xml:space="preserve"> voice</w:t>
      </w:r>
      <w:r w:rsidR="00347DBB">
        <w:rPr>
          <w:rFonts w:asciiTheme="minorHAnsi" w:hAnsiTheme="minorHAnsi"/>
          <w:color w:val="auto"/>
          <w:sz w:val="22"/>
          <w:szCs w:val="22"/>
        </w:rPr>
        <w:t>, together with an expectation on training of responsibilities</w:t>
      </w:r>
      <w:r w:rsidRPr="00F57D0B">
        <w:rPr>
          <w:rFonts w:asciiTheme="minorHAnsi" w:hAnsiTheme="minorHAnsi"/>
          <w:color w:val="auto"/>
          <w:sz w:val="22"/>
          <w:szCs w:val="22"/>
        </w:rPr>
        <w:t>.</w:t>
      </w:r>
    </w:p>
    <w:p w14:paraId="304849FF" w14:textId="77777777" w:rsidR="00F57D0B" w:rsidRPr="00F57D0B" w:rsidRDefault="00F57D0B" w:rsidP="00F57D0B">
      <w:pPr>
        <w:pStyle w:val="Default"/>
        <w:jc w:val="both"/>
        <w:rPr>
          <w:rFonts w:asciiTheme="minorHAnsi" w:hAnsiTheme="minorHAnsi"/>
          <w:color w:val="auto"/>
          <w:sz w:val="22"/>
          <w:szCs w:val="22"/>
        </w:rPr>
      </w:pPr>
    </w:p>
    <w:p w14:paraId="604B8716" w14:textId="6D353C0A" w:rsidR="00F57D0B" w:rsidRPr="00F57D0B" w:rsidRDefault="00F57D0B" w:rsidP="00F57D0B">
      <w:pPr>
        <w:pStyle w:val="Default"/>
        <w:jc w:val="both"/>
        <w:rPr>
          <w:rFonts w:asciiTheme="minorHAnsi" w:hAnsiTheme="minorHAnsi"/>
          <w:color w:val="auto"/>
          <w:sz w:val="22"/>
          <w:szCs w:val="22"/>
        </w:rPr>
      </w:pPr>
      <w:r w:rsidRPr="00F57D0B">
        <w:rPr>
          <w:rFonts w:asciiTheme="minorHAnsi" w:hAnsiTheme="minorHAnsi"/>
          <w:color w:val="auto"/>
          <w:sz w:val="22"/>
          <w:szCs w:val="22"/>
        </w:rPr>
        <w:t xml:space="preserve">4.13 – the ‘safety rating’ comparison is potentially subject to the law on unintended consequences, as has been seen in the insurance market reaction following Grenfell.  It might skew the house market pricing and widen the socio-economic gap that fire safety itself is subject to.  Residents not receptive to management decisions could organise themselves on social media and denigrate decision-making processes (see clause 4.21) – they might not follow the intended management processes as envisaged (see clause 4.23).  Publication of the ‘safety rating’ is not a good idea.  </w:t>
      </w:r>
      <w:r w:rsidR="00347DBB">
        <w:rPr>
          <w:rFonts w:asciiTheme="minorHAnsi" w:hAnsiTheme="minorHAnsi"/>
          <w:color w:val="auto"/>
          <w:sz w:val="22"/>
          <w:szCs w:val="22"/>
        </w:rPr>
        <w:t>We invite further consideration on this recommendation.</w:t>
      </w:r>
    </w:p>
    <w:p w14:paraId="4C8A53D3" w14:textId="77777777" w:rsidR="00F57D0B" w:rsidRPr="00F57D0B" w:rsidRDefault="00F57D0B" w:rsidP="00F57D0B">
      <w:pPr>
        <w:pStyle w:val="Default"/>
        <w:jc w:val="both"/>
        <w:rPr>
          <w:rFonts w:asciiTheme="minorHAnsi" w:hAnsiTheme="minorHAnsi"/>
          <w:color w:val="auto"/>
          <w:sz w:val="22"/>
          <w:szCs w:val="22"/>
        </w:rPr>
      </w:pPr>
    </w:p>
    <w:p w14:paraId="71BE90A7" w14:textId="77777777" w:rsidR="00F57D0B" w:rsidRPr="00F57D0B" w:rsidRDefault="00F57D0B" w:rsidP="00F57D0B">
      <w:pPr>
        <w:pStyle w:val="Default"/>
        <w:jc w:val="both"/>
        <w:rPr>
          <w:rFonts w:asciiTheme="minorHAnsi" w:hAnsiTheme="minorHAnsi"/>
          <w:color w:val="auto"/>
          <w:sz w:val="22"/>
          <w:szCs w:val="22"/>
        </w:rPr>
      </w:pPr>
      <w:r w:rsidRPr="00F57D0B">
        <w:rPr>
          <w:rFonts w:asciiTheme="minorHAnsi" w:hAnsiTheme="minorHAnsi"/>
          <w:color w:val="auto"/>
          <w:sz w:val="22"/>
          <w:szCs w:val="22"/>
        </w:rPr>
        <w:t>4.16: it is not always straightforward to demonstrate, beyond doubt (or to ALARP), that the right materials are in position, or combined composition, with other materials in a supine, vertical, prone or external condition are safe.  This issue links directly with testing materials via consistent methodologies and Part B Robust Details.</w:t>
      </w:r>
    </w:p>
    <w:p w14:paraId="36C0500D" w14:textId="77777777" w:rsidR="00F57D0B" w:rsidRPr="00F57D0B" w:rsidRDefault="00F57D0B" w:rsidP="00F57D0B">
      <w:pPr>
        <w:pStyle w:val="Default"/>
        <w:jc w:val="both"/>
        <w:rPr>
          <w:rFonts w:asciiTheme="minorHAnsi" w:hAnsiTheme="minorHAnsi"/>
          <w:color w:val="auto"/>
          <w:sz w:val="22"/>
          <w:szCs w:val="22"/>
        </w:rPr>
      </w:pPr>
    </w:p>
    <w:p w14:paraId="0ACBE675" w14:textId="77777777" w:rsidR="00F57D0B" w:rsidRPr="00F57D0B" w:rsidRDefault="00F57D0B" w:rsidP="00F57D0B">
      <w:pPr>
        <w:pStyle w:val="Default"/>
        <w:jc w:val="both"/>
        <w:rPr>
          <w:rFonts w:asciiTheme="minorHAnsi" w:hAnsiTheme="minorHAnsi"/>
          <w:color w:val="auto"/>
          <w:sz w:val="22"/>
          <w:szCs w:val="22"/>
        </w:rPr>
      </w:pPr>
      <w:r w:rsidRPr="00F57D0B">
        <w:rPr>
          <w:rFonts w:asciiTheme="minorHAnsi" w:hAnsiTheme="minorHAnsi"/>
          <w:color w:val="auto"/>
          <w:sz w:val="22"/>
          <w:szCs w:val="22"/>
        </w:rPr>
        <w:t>Recommendation 4.5: we fully support quick routes of redress if internal routes have failed for tenants.</w:t>
      </w:r>
    </w:p>
    <w:p w14:paraId="4B54C0EA" w14:textId="77777777" w:rsidR="00F57D0B" w:rsidRPr="00F57D0B" w:rsidRDefault="00F57D0B" w:rsidP="00F57D0B">
      <w:pPr>
        <w:pStyle w:val="Default"/>
        <w:jc w:val="both"/>
        <w:rPr>
          <w:rFonts w:asciiTheme="minorHAnsi" w:hAnsiTheme="minorHAnsi"/>
          <w:color w:val="auto"/>
          <w:sz w:val="22"/>
          <w:szCs w:val="22"/>
        </w:rPr>
      </w:pPr>
    </w:p>
    <w:p w14:paraId="0D79A382" w14:textId="35AD0D13" w:rsidR="00F57D0B" w:rsidRPr="00F57D0B" w:rsidRDefault="00F57D0B" w:rsidP="00F57D0B">
      <w:pPr>
        <w:pStyle w:val="Default"/>
        <w:jc w:val="both"/>
        <w:rPr>
          <w:rFonts w:asciiTheme="minorHAnsi" w:hAnsiTheme="minorHAnsi"/>
          <w:color w:val="auto"/>
          <w:sz w:val="22"/>
          <w:szCs w:val="22"/>
        </w:rPr>
      </w:pPr>
      <w:r w:rsidRPr="00F57D0B">
        <w:rPr>
          <w:rFonts w:asciiTheme="minorHAnsi" w:hAnsiTheme="minorHAnsi"/>
          <w:color w:val="auto"/>
          <w:sz w:val="22"/>
          <w:szCs w:val="22"/>
        </w:rPr>
        <w:t xml:space="preserve">4.32 – </w:t>
      </w:r>
      <w:r w:rsidR="000F4578">
        <w:rPr>
          <w:rFonts w:asciiTheme="minorHAnsi" w:hAnsiTheme="minorHAnsi"/>
          <w:color w:val="auto"/>
          <w:sz w:val="22"/>
          <w:szCs w:val="22"/>
        </w:rPr>
        <w:t xml:space="preserve">we question </w:t>
      </w:r>
      <w:r w:rsidRPr="00F57D0B">
        <w:rPr>
          <w:rFonts w:asciiTheme="minorHAnsi" w:hAnsiTheme="minorHAnsi"/>
          <w:color w:val="auto"/>
          <w:sz w:val="22"/>
          <w:szCs w:val="22"/>
        </w:rPr>
        <w:t xml:space="preserve">why the </w:t>
      </w:r>
      <w:r w:rsidR="0087431B">
        <w:rPr>
          <w:rFonts w:asciiTheme="minorHAnsi" w:hAnsiTheme="minorHAnsi"/>
          <w:color w:val="auto"/>
          <w:sz w:val="22"/>
          <w:szCs w:val="22"/>
        </w:rPr>
        <w:t>Report</w:t>
      </w:r>
      <w:r w:rsidR="000F4578">
        <w:rPr>
          <w:rFonts w:asciiTheme="minorHAnsi" w:hAnsiTheme="minorHAnsi"/>
          <w:color w:val="auto"/>
          <w:sz w:val="22"/>
          <w:szCs w:val="22"/>
        </w:rPr>
        <w:t xml:space="preserve"> does not</w:t>
      </w:r>
      <w:r w:rsidRPr="00F57D0B">
        <w:rPr>
          <w:rFonts w:asciiTheme="minorHAnsi" w:hAnsiTheme="minorHAnsi"/>
          <w:color w:val="auto"/>
          <w:sz w:val="22"/>
          <w:szCs w:val="22"/>
        </w:rPr>
        <w:t xml:space="preserve"> recommend banning gas from HRRBs?</w:t>
      </w:r>
    </w:p>
    <w:p w14:paraId="0E82652E" w14:textId="77777777" w:rsidR="00F57D0B" w:rsidRPr="00F57D0B" w:rsidRDefault="00F57D0B" w:rsidP="00F57D0B">
      <w:pPr>
        <w:pStyle w:val="Default"/>
        <w:jc w:val="both"/>
        <w:rPr>
          <w:rFonts w:asciiTheme="minorHAnsi" w:hAnsiTheme="minorHAnsi"/>
          <w:color w:val="auto"/>
          <w:sz w:val="22"/>
          <w:szCs w:val="22"/>
        </w:rPr>
      </w:pPr>
    </w:p>
    <w:p w14:paraId="3B705CF8" w14:textId="77777777" w:rsidR="00F57D0B" w:rsidRPr="000F4578" w:rsidRDefault="000F4578" w:rsidP="00F57D0B">
      <w:pPr>
        <w:pStyle w:val="Default"/>
        <w:jc w:val="both"/>
        <w:rPr>
          <w:rFonts w:asciiTheme="minorHAnsi" w:hAnsiTheme="minorHAnsi"/>
          <w:b/>
          <w:bCs/>
          <w:color w:val="auto"/>
          <w:sz w:val="28"/>
          <w:szCs w:val="28"/>
        </w:rPr>
      </w:pPr>
      <w:r w:rsidRPr="000F4578">
        <w:rPr>
          <w:rFonts w:asciiTheme="minorHAnsi" w:hAnsiTheme="minorHAnsi"/>
          <w:b/>
          <w:bCs/>
          <w:color w:val="auto"/>
          <w:sz w:val="28"/>
          <w:szCs w:val="28"/>
        </w:rPr>
        <w:t>Chapter Five</w:t>
      </w:r>
    </w:p>
    <w:p w14:paraId="60AB65F7" w14:textId="66387D6D" w:rsidR="00F57D0B" w:rsidRPr="00F57D0B" w:rsidRDefault="00F57D0B" w:rsidP="00F57D0B">
      <w:pPr>
        <w:pStyle w:val="Default"/>
        <w:jc w:val="both"/>
        <w:rPr>
          <w:rFonts w:asciiTheme="minorHAnsi" w:hAnsiTheme="minorHAnsi"/>
          <w:color w:val="auto"/>
          <w:sz w:val="22"/>
          <w:szCs w:val="22"/>
        </w:rPr>
      </w:pPr>
      <w:r w:rsidRPr="00F57D0B">
        <w:rPr>
          <w:rFonts w:asciiTheme="minorHAnsi" w:hAnsiTheme="minorHAnsi"/>
          <w:color w:val="auto"/>
          <w:sz w:val="22"/>
          <w:szCs w:val="22"/>
        </w:rPr>
        <w:t xml:space="preserve">5.2 &amp; 5.11 – the problems of competence and focus on individual specialisms is solved by inter-disciplinary reviews and / or the QDR process.  </w:t>
      </w:r>
      <w:r w:rsidR="000F4578">
        <w:rPr>
          <w:rFonts w:asciiTheme="minorHAnsi" w:hAnsiTheme="minorHAnsi"/>
          <w:color w:val="auto"/>
          <w:sz w:val="22"/>
          <w:szCs w:val="22"/>
        </w:rPr>
        <w:t xml:space="preserve">We ask why </w:t>
      </w:r>
      <w:r w:rsidRPr="00F57D0B">
        <w:rPr>
          <w:rFonts w:asciiTheme="minorHAnsi" w:hAnsiTheme="minorHAnsi"/>
          <w:color w:val="auto"/>
          <w:sz w:val="22"/>
          <w:szCs w:val="22"/>
        </w:rPr>
        <w:t xml:space="preserve">the </w:t>
      </w:r>
      <w:r w:rsidR="0087431B">
        <w:rPr>
          <w:rFonts w:asciiTheme="minorHAnsi" w:hAnsiTheme="minorHAnsi"/>
          <w:color w:val="auto"/>
          <w:sz w:val="22"/>
          <w:szCs w:val="22"/>
        </w:rPr>
        <w:t>Report</w:t>
      </w:r>
      <w:r w:rsidRPr="00F57D0B">
        <w:rPr>
          <w:rFonts w:asciiTheme="minorHAnsi" w:hAnsiTheme="minorHAnsi"/>
          <w:color w:val="auto"/>
          <w:sz w:val="22"/>
          <w:szCs w:val="22"/>
        </w:rPr>
        <w:t xml:space="preserve"> </w:t>
      </w:r>
      <w:r w:rsidR="000F4578">
        <w:rPr>
          <w:rFonts w:asciiTheme="minorHAnsi" w:hAnsiTheme="minorHAnsi"/>
          <w:color w:val="auto"/>
          <w:sz w:val="22"/>
          <w:szCs w:val="22"/>
        </w:rPr>
        <w:t xml:space="preserve">has not considered </w:t>
      </w:r>
      <w:r w:rsidRPr="00F57D0B">
        <w:rPr>
          <w:rFonts w:asciiTheme="minorHAnsi" w:hAnsiTheme="minorHAnsi"/>
          <w:color w:val="auto"/>
          <w:sz w:val="22"/>
          <w:szCs w:val="22"/>
        </w:rPr>
        <w:t>existing, well-practised solutions?  Accreditation is welcome</w:t>
      </w:r>
      <w:r w:rsidR="000F4578">
        <w:rPr>
          <w:rFonts w:asciiTheme="minorHAnsi" w:hAnsiTheme="minorHAnsi"/>
          <w:color w:val="auto"/>
          <w:sz w:val="22"/>
          <w:szCs w:val="22"/>
        </w:rPr>
        <w:t>d</w:t>
      </w:r>
      <w:r w:rsidRPr="00F57D0B">
        <w:rPr>
          <w:rFonts w:asciiTheme="minorHAnsi" w:hAnsiTheme="minorHAnsi"/>
          <w:color w:val="auto"/>
          <w:sz w:val="22"/>
          <w:szCs w:val="22"/>
        </w:rPr>
        <w:t>, but this does</w:t>
      </w:r>
      <w:r w:rsidR="000F4578">
        <w:rPr>
          <w:rFonts w:asciiTheme="minorHAnsi" w:hAnsiTheme="minorHAnsi"/>
          <w:color w:val="auto"/>
          <w:sz w:val="22"/>
          <w:szCs w:val="22"/>
        </w:rPr>
        <w:t xml:space="preserve"> </w:t>
      </w:r>
      <w:r w:rsidRPr="00F57D0B">
        <w:rPr>
          <w:rFonts w:asciiTheme="minorHAnsi" w:hAnsiTheme="minorHAnsi"/>
          <w:color w:val="auto"/>
          <w:sz w:val="22"/>
          <w:szCs w:val="22"/>
        </w:rPr>
        <w:t>n</w:t>
      </w:r>
      <w:r w:rsidR="000F4578">
        <w:rPr>
          <w:rFonts w:asciiTheme="minorHAnsi" w:hAnsiTheme="minorHAnsi"/>
          <w:color w:val="auto"/>
          <w:sz w:val="22"/>
          <w:szCs w:val="22"/>
        </w:rPr>
        <w:t>o</w:t>
      </w:r>
      <w:r w:rsidRPr="00F57D0B">
        <w:rPr>
          <w:rFonts w:asciiTheme="minorHAnsi" w:hAnsiTheme="minorHAnsi"/>
          <w:color w:val="auto"/>
          <w:sz w:val="22"/>
          <w:szCs w:val="22"/>
        </w:rPr>
        <w:t xml:space="preserve">t solve silo thinking – it can </w:t>
      </w:r>
      <w:proofErr w:type="gramStart"/>
      <w:r w:rsidRPr="00F57D0B">
        <w:rPr>
          <w:rFonts w:asciiTheme="minorHAnsi" w:hAnsiTheme="minorHAnsi"/>
          <w:color w:val="auto"/>
          <w:sz w:val="22"/>
          <w:szCs w:val="22"/>
        </w:rPr>
        <w:t>actually just</w:t>
      </w:r>
      <w:proofErr w:type="gramEnd"/>
      <w:r w:rsidRPr="00F57D0B">
        <w:rPr>
          <w:rFonts w:asciiTheme="minorHAnsi" w:hAnsiTheme="minorHAnsi"/>
          <w:color w:val="auto"/>
          <w:sz w:val="22"/>
          <w:szCs w:val="22"/>
        </w:rPr>
        <w:t xml:space="preserve"> deepen the specialism silo.  Improvement is about process – incompetence</w:t>
      </w:r>
      <w:r w:rsidR="006155DE">
        <w:rPr>
          <w:rFonts w:asciiTheme="minorHAnsi" w:hAnsiTheme="minorHAnsi"/>
          <w:color w:val="auto"/>
          <w:sz w:val="22"/>
          <w:szCs w:val="22"/>
        </w:rPr>
        <w:t xml:space="preserve"> which</w:t>
      </w:r>
      <w:r w:rsidRPr="00F57D0B">
        <w:rPr>
          <w:rFonts w:asciiTheme="minorHAnsi" w:hAnsiTheme="minorHAnsi"/>
          <w:color w:val="auto"/>
          <w:sz w:val="22"/>
          <w:szCs w:val="22"/>
        </w:rPr>
        <w:t xml:space="preserve"> is weeded out through robust peer review / fire safety assurance process, which also permits mistakes from competent people to be corrected.</w:t>
      </w:r>
    </w:p>
    <w:p w14:paraId="2A73A6B3" w14:textId="77777777" w:rsidR="00F57D0B" w:rsidRPr="00F57D0B" w:rsidRDefault="00F57D0B" w:rsidP="00F57D0B">
      <w:pPr>
        <w:pStyle w:val="Default"/>
        <w:jc w:val="both"/>
        <w:rPr>
          <w:rFonts w:asciiTheme="minorHAnsi" w:hAnsiTheme="minorHAnsi"/>
          <w:color w:val="auto"/>
          <w:sz w:val="22"/>
          <w:szCs w:val="22"/>
        </w:rPr>
      </w:pPr>
    </w:p>
    <w:p w14:paraId="31CEDF12" w14:textId="38CB8E77" w:rsidR="00F57D0B" w:rsidRPr="00F57D0B" w:rsidRDefault="00F57D0B" w:rsidP="00F57D0B">
      <w:pPr>
        <w:pStyle w:val="Default"/>
        <w:jc w:val="both"/>
        <w:rPr>
          <w:rFonts w:asciiTheme="minorHAnsi" w:hAnsiTheme="minorHAnsi"/>
          <w:color w:val="auto"/>
          <w:sz w:val="22"/>
          <w:szCs w:val="22"/>
        </w:rPr>
      </w:pPr>
      <w:r w:rsidRPr="00F57D0B">
        <w:rPr>
          <w:rFonts w:asciiTheme="minorHAnsi" w:hAnsiTheme="minorHAnsi"/>
          <w:color w:val="auto"/>
          <w:sz w:val="22"/>
          <w:szCs w:val="22"/>
        </w:rPr>
        <w:t>There should not be sole emphasis on qualifications of fire engineers, but experience too</w:t>
      </w:r>
      <w:r w:rsidR="000F4578">
        <w:rPr>
          <w:rFonts w:asciiTheme="minorHAnsi" w:hAnsiTheme="minorHAnsi"/>
          <w:color w:val="auto"/>
          <w:sz w:val="22"/>
          <w:szCs w:val="22"/>
        </w:rPr>
        <w:t>, this has incredible value</w:t>
      </w:r>
      <w:r w:rsidRPr="00F57D0B">
        <w:rPr>
          <w:rFonts w:asciiTheme="minorHAnsi" w:hAnsiTheme="minorHAnsi"/>
          <w:color w:val="auto"/>
          <w:sz w:val="22"/>
          <w:szCs w:val="22"/>
        </w:rPr>
        <w:t>.  The qualifications in fire engineering are relatively new and some practi</w:t>
      </w:r>
      <w:r w:rsidR="000F4578">
        <w:rPr>
          <w:rFonts w:asciiTheme="minorHAnsi" w:hAnsiTheme="minorHAnsi"/>
          <w:color w:val="auto"/>
          <w:sz w:val="22"/>
          <w:szCs w:val="22"/>
        </w:rPr>
        <w:t>s</w:t>
      </w:r>
      <w:r w:rsidRPr="00F57D0B">
        <w:rPr>
          <w:rFonts w:asciiTheme="minorHAnsi" w:hAnsiTheme="minorHAnsi"/>
          <w:color w:val="auto"/>
          <w:sz w:val="22"/>
          <w:szCs w:val="22"/>
        </w:rPr>
        <w:t>ing fire engineers did not benefit from access to dedicated courses</w:t>
      </w:r>
      <w:r w:rsidR="000F4578">
        <w:rPr>
          <w:rFonts w:asciiTheme="minorHAnsi" w:hAnsiTheme="minorHAnsi"/>
          <w:color w:val="auto"/>
          <w:sz w:val="22"/>
          <w:szCs w:val="22"/>
        </w:rPr>
        <w:t>, this does not necessar</w:t>
      </w:r>
      <w:r w:rsidR="00E762DE">
        <w:rPr>
          <w:rFonts w:asciiTheme="minorHAnsi" w:hAnsiTheme="minorHAnsi"/>
          <w:color w:val="auto"/>
          <w:sz w:val="22"/>
          <w:szCs w:val="22"/>
        </w:rPr>
        <w:t>il</w:t>
      </w:r>
      <w:r w:rsidR="000F4578">
        <w:rPr>
          <w:rFonts w:asciiTheme="minorHAnsi" w:hAnsiTheme="minorHAnsi"/>
          <w:color w:val="auto"/>
          <w:sz w:val="22"/>
          <w:szCs w:val="22"/>
        </w:rPr>
        <w:t>y impact their competences</w:t>
      </w:r>
      <w:r w:rsidRPr="00F57D0B">
        <w:rPr>
          <w:rFonts w:asciiTheme="minorHAnsi" w:hAnsiTheme="minorHAnsi"/>
          <w:color w:val="auto"/>
          <w:sz w:val="22"/>
          <w:szCs w:val="22"/>
        </w:rPr>
        <w:t xml:space="preserve">.  Many people in industry have worked their way up professionally from electrical or mechanical engineer </w:t>
      </w:r>
      <w:proofErr w:type="gramStart"/>
      <w:r w:rsidRPr="00F57D0B">
        <w:rPr>
          <w:rFonts w:asciiTheme="minorHAnsi" w:hAnsiTheme="minorHAnsi"/>
          <w:color w:val="auto"/>
          <w:sz w:val="22"/>
          <w:szCs w:val="22"/>
        </w:rPr>
        <w:t>backgrounds, and</w:t>
      </w:r>
      <w:proofErr w:type="gramEnd"/>
      <w:r w:rsidRPr="00F57D0B">
        <w:rPr>
          <w:rFonts w:asciiTheme="minorHAnsi" w:hAnsiTheme="minorHAnsi"/>
          <w:color w:val="auto"/>
          <w:sz w:val="22"/>
          <w:szCs w:val="22"/>
        </w:rPr>
        <w:t xml:space="preserve"> have obtained competency in fire engineering through years of experience.  This should not be compared with a graduate with a qualification as equal status – qualifications can be trumped by experience in major projects.  The findings do recognise </w:t>
      </w:r>
      <w:proofErr w:type="gramStart"/>
      <w:r w:rsidRPr="00F57D0B">
        <w:rPr>
          <w:rFonts w:asciiTheme="minorHAnsi" w:hAnsiTheme="minorHAnsi"/>
          <w:color w:val="auto"/>
          <w:sz w:val="22"/>
          <w:szCs w:val="22"/>
        </w:rPr>
        <w:t>competency</w:t>
      </w:r>
      <w:proofErr w:type="gramEnd"/>
      <w:r w:rsidRPr="00F57D0B">
        <w:rPr>
          <w:rFonts w:asciiTheme="minorHAnsi" w:hAnsiTheme="minorHAnsi"/>
          <w:color w:val="auto"/>
          <w:sz w:val="22"/>
          <w:szCs w:val="22"/>
        </w:rPr>
        <w:t xml:space="preserve"> </w:t>
      </w:r>
      <w:r w:rsidR="000F4578">
        <w:rPr>
          <w:rFonts w:asciiTheme="minorHAnsi" w:hAnsiTheme="minorHAnsi"/>
          <w:color w:val="auto"/>
          <w:sz w:val="22"/>
          <w:szCs w:val="22"/>
        </w:rPr>
        <w:t xml:space="preserve">but </w:t>
      </w:r>
      <w:r w:rsidRPr="00F57D0B">
        <w:rPr>
          <w:rFonts w:asciiTheme="minorHAnsi" w:hAnsiTheme="minorHAnsi"/>
          <w:color w:val="auto"/>
          <w:sz w:val="22"/>
          <w:szCs w:val="22"/>
        </w:rPr>
        <w:t xml:space="preserve">the </w:t>
      </w:r>
      <w:r w:rsidR="0087431B">
        <w:rPr>
          <w:rFonts w:asciiTheme="minorHAnsi" w:hAnsiTheme="minorHAnsi"/>
          <w:color w:val="auto"/>
          <w:sz w:val="22"/>
          <w:szCs w:val="22"/>
        </w:rPr>
        <w:t>Report</w:t>
      </w:r>
      <w:r w:rsidRPr="00F57D0B">
        <w:rPr>
          <w:rFonts w:asciiTheme="minorHAnsi" w:hAnsiTheme="minorHAnsi"/>
          <w:color w:val="auto"/>
          <w:sz w:val="22"/>
          <w:szCs w:val="22"/>
        </w:rPr>
        <w:t xml:space="preserve"> </w:t>
      </w:r>
      <w:r w:rsidR="000F4578">
        <w:rPr>
          <w:rFonts w:asciiTheme="minorHAnsi" w:hAnsiTheme="minorHAnsi"/>
          <w:color w:val="auto"/>
          <w:sz w:val="22"/>
          <w:szCs w:val="22"/>
        </w:rPr>
        <w:t xml:space="preserve">must </w:t>
      </w:r>
      <w:r w:rsidRPr="00F57D0B">
        <w:rPr>
          <w:rFonts w:asciiTheme="minorHAnsi" w:hAnsiTheme="minorHAnsi"/>
          <w:color w:val="auto"/>
          <w:sz w:val="22"/>
          <w:szCs w:val="22"/>
        </w:rPr>
        <w:t>make a distinction between academic achievement and professional experience</w:t>
      </w:r>
      <w:r w:rsidR="000D5585">
        <w:rPr>
          <w:rFonts w:asciiTheme="minorHAnsi" w:hAnsiTheme="minorHAnsi"/>
          <w:color w:val="auto"/>
          <w:sz w:val="22"/>
          <w:szCs w:val="22"/>
        </w:rPr>
        <w:t xml:space="preserve"> to achieve competence</w:t>
      </w:r>
      <w:r w:rsidRPr="00F57D0B">
        <w:rPr>
          <w:rFonts w:asciiTheme="minorHAnsi" w:hAnsiTheme="minorHAnsi"/>
          <w:color w:val="auto"/>
          <w:sz w:val="22"/>
          <w:szCs w:val="22"/>
        </w:rPr>
        <w:t>.</w:t>
      </w:r>
    </w:p>
    <w:p w14:paraId="6850784C" w14:textId="77777777" w:rsidR="00F57D0B" w:rsidRPr="00F57D0B" w:rsidRDefault="00F57D0B" w:rsidP="00F57D0B">
      <w:pPr>
        <w:pStyle w:val="Default"/>
        <w:jc w:val="both"/>
        <w:rPr>
          <w:rFonts w:asciiTheme="minorHAnsi" w:hAnsiTheme="minorHAnsi"/>
          <w:color w:val="auto"/>
          <w:sz w:val="22"/>
          <w:szCs w:val="22"/>
        </w:rPr>
      </w:pPr>
    </w:p>
    <w:p w14:paraId="7B24175F" w14:textId="77777777" w:rsidR="004D11CB" w:rsidRDefault="004D11CB" w:rsidP="00F57D0B">
      <w:pPr>
        <w:pStyle w:val="Default"/>
        <w:jc w:val="both"/>
        <w:rPr>
          <w:rFonts w:asciiTheme="minorHAnsi" w:hAnsiTheme="minorHAnsi"/>
          <w:color w:val="auto"/>
          <w:sz w:val="22"/>
          <w:szCs w:val="22"/>
        </w:rPr>
      </w:pPr>
    </w:p>
    <w:p w14:paraId="793DFC24" w14:textId="77777777" w:rsidR="004D11CB" w:rsidRDefault="004D11CB" w:rsidP="00F57D0B">
      <w:pPr>
        <w:pStyle w:val="Default"/>
        <w:jc w:val="both"/>
        <w:rPr>
          <w:rFonts w:asciiTheme="minorHAnsi" w:hAnsiTheme="minorHAnsi"/>
          <w:color w:val="auto"/>
          <w:sz w:val="22"/>
          <w:szCs w:val="22"/>
        </w:rPr>
      </w:pPr>
    </w:p>
    <w:p w14:paraId="7223F5BD" w14:textId="32A1837C" w:rsidR="00F57D0B" w:rsidRPr="00F57D0B" w:rsidRDefault="00F57D0B" w:rsidP="00F57D0B">
      <w:pPr>
        <w:pStyle w:val="Default"/>
        <w:jc w:val="both"/>
        <w:rPr>
          <w:rFonts w:asciiTheme="minorHAnsi" w:hAnsiTheme="minorHAnsi"/>
          <w:color w:val="auto"/>
          <w:sz w:val="22"/>
          <w:szCs w:val="22"/>
        </w:rPr>
      </w:pPr>
      <w:r w:rsidRPr="00F57D0B">
        <w:rPr>
          <w:rFonts w:asciiTheme="minorHAnsi" w:hAnsiTheme="minorHAnsi"/>
          <w:color w:val="auto"/>
          <w:sz w:val="22"/>
          <w:szCs w:val="22"/>
        </w:rPr>
        <w:t xml:space="preserve">For example, fire strategies are often peer reviewed by fellow fire engineers, and by most disciplines affected by its contents.  Peer review is essential: at Manchester Airport the Jacobs fire strategy was peer reviewed by both Hoare Lea (contractor engineers) and Arup (client board peer review) – i.e. </w:t>
      </w:r>
      <w:r w:rsidR="000F4578">
        <w:rPr>
          <w:rFonts w:asciiTheme="minorHAnsi" w:hAnsiTheme="minorHAnsi"/>
          <w:color w:val="auto"/>
          <w:sz w:val="22"/>
          <w:szCs w:val="22"/>
        </w:rPr>
        <w:t>four</w:t>
      </w:r>
      <w:r w:rsidRPr="00F57D0B">
        <w:rPr>
          <w:rFonts w:asciiTheme="minorHAnsi" w:hAnsiTheme="minorHAnsi"/>
          <w:color w:val="auto"/>
          <w:sz w:val="22"/>
          <w:szCs w:val="22"/>
        </w:rPr>
        <w:t xml:space="preserve"> Chartered Fire Engineers reviewed the document.  This is rigorous assurance and manifests the beauty of the QDR in action.  Please promote it.  Qualifications and certificates do not change culture, process does.</w:t>
      </w:r>
    </w:p>
    <w:p w14:paraId="689756B5" w14:textId="77777777" w:rsidR="00F57D0B" w:rsidRPr="00F57D0B" w:rsidRDefault="00F57D0B" w:rsidP="00F57D0B">
      <w:pPr>
        <w:pStyle w:val="Default"/>
        <w:jc w:val="both"/>
        <w:rPr>
          <w:rFonts w:asciiTheme="minorHAnsi" w:hAnsiTheme="minorHAnsi"/>
          <w:color w:val="auto"/>
          <w:sz w:val="22"/>
          <w:szCs w:val="22"/>
        </w:rPr>
      </w:pPr>
    </w:p>
    <w:p w14:paraId="10E6521F" w14:textId="10C175AC" w:rsidR="000F4578" w:rsidRDefault="00F57D0B" w:rsidP="00F57D0B">
      <w:pPr>
        <w:pStyle w:val="Default"/>
        <w:jc w:val="both"/>
        <w:rPr>
          <w:rFonts w:asciiTheme="minorHAnsi" w:hAnsiTheme="minorHAnsi"/>
          <w:color w:val="auto"/>
          <w:sz w:val="22"/>
          <w:szCs w:val="22"/>
        </w:rPr>
      </w:pPr>
      <w:r w:rsidRPr="00F57D0B">
        <w:rPr>
          <w:rFonts w:asciiTheme="minorHAnsi" w:hAnsiTheme="minorHAnsi"/>
          <w:color w:val="auto"/>
          <w:sz w:val="22"/>
          <w:szCs w:val="22"/>
        </w:rPr>
        <w:t xml:space="preserve">5.7 – </w:t>
      </w:r>
      <w:r w:rsidR="000F4578">
        <w:rPr>
          <w:rFonts w:asciiTheme="minorHAnsi" w:hAnsiTheme="minorHAnsi"/>
          <w:color w:val="auto"/>
          <w:sz w:val="22"/>
          <w:szCs w:val="22"/>
        </w:rPr>
        <w:t>We cannot</w:t>
      </w:r>
      <w:r w:rsidR="00E762DE">
        <w:rPr>
          <w:rFonts w:asciiTheme="minorHAnsi" w:hAnsiTheme="minorHAnsi"/>
          <w:color w:val="auto"/>
          <w:sz w:val="22"/>
          <w:szCs w:val="22"/>
        </w:rPr>
        <w:t xml:space="preserve"> determine</w:t>
      </w:r>
      <w:r w:rsidR="000F4578">
        <w:rPr>
          <w:rFonts w:asciiTheme="minorHAnsi" w:hAnsiTheme="minorHAnsi"/>
          <w:color w:val="auto"/>
          <w:sz w:val="22"/>
          <w:szCs w:val="22"/>
        </w:rPr>
        <w:t xml:space="preserve"> within </w:t>
      </w:r>
      <w:r w:rsidRPr="00F57D0B">
        <w:rPr>
          <w:rFonts w:asciiTheme="minorHAnsi" w:hAnsiTheme="minorHAnsi"/>
          <w:color w:val="auto"/>
          <w:sz w:val="22"/>
          <w:szCs w:val="22"/>
        </w:rPr>
        <w:t xml:space="preserve">the </w:t>
      </w:r>
      <w:r w:rsidR="0087431B">
        <w:rPr>
          <w:rFonts w:asciiTheme="minorHAnsi" w:hAnsiTheme="minorHAnsi"/>
          <w:color w:val="auto"/>
          <w:sz w:val="22"/>
          <w:szCs w:val="22"/>
        </w:rPr>
        <w:t>Report</w:t>
      </w:r>
      <w:r w:rsidR="000F4578">
        <w:rPr>
          <w:rFonts w:asciiTheme="minorHAnsi" w:hAnsiTheme="minorHAnsi"/>
          <w:color w:val="auto"/>
          <w:sz w:val="22"/>
          <w:szCs w:val="22"/>
        </w:rPr>
        <w:t xml:space="preserve"> where it has demonstrated </w:t>
      </w:r>
      <w:r w:rsidRPr="00F57D0B">
        <w:rPr>
          <w:rFonts w:asciiTheme="minorHAnsi" w:hAnsiTheme="minorHAnsi"/>
          <w:color w:val="auto"/>
          <w:sz w:val="22"/>
          <w:szCs w:val="22"/>
        </w:rPr>
        <w:t xml:space="preserve">a ‘broken’ system.  </w:t>
      </w:r>
      <w:r w:rsidR="000F4578">
        <w:rPr>
          <w:rFonts w:asciiTheme="minorHAnsi" w:hAnsiTheme="minorHAnsi"/>
          <w:color w:val="auto"/>
          <w:sz w:val="22"/>
          <w:szCs w:val="22"/>
        </w:rPr>
        <w:t xml:space="preserve">This is essential as the profession of the whole construction industry is being </w:t>
      </w:r>
      <w:r w:rsidR="00E762DE">
        <w:rPr>
          <w:rFonts w:asciiTheme="minorHAnsi" w:hAnsiTheme="minorHAnsi"/>
          <w:color w:val="auto"/>
          <w:sz w:val="22"/>
          <w:szCs w:val="22"/>
        </w:rPr>
        <w:t>called into question without qualifying the statement.</w:t>
      </w:r>
    </w:p>
    <w:p w14:paraId="0167D884" w14:textId="77777777" w:rsidR="00F57D0B" w:rsidRPr="00F57D0B" w:rsidRDefault="00F57D0B" w:rsidP="00F57D0B">
      <w:pPr>
        <w:pStyle w:val="Default"/>
        <w:jc w:val="both"/>
        <w:rPr>
          <w:rFonts w:asciiTheme="minorHAnsi" w:hAnsiTheme="minorHAnsi"/>
          <w:color w:val="auto"/>
          <w:sz w:val="22"/>
          <w:szCs w:val="22"/>
        </w:rPr>
      </w:pPr>
    </w:p>
    <w:p w14:paraId="07E9F96D" w14:textId="77777777" w:rsidR="00F57D0B" w:rsidRPr="00F57D0B" w:rsidRDefault="00F57D0B" w:rsidP="00F57D0B">
      <w:pPr>
        <w:pStyle w:val="Default"/>
        <w:jc w:val="both"/>
        <w:rPr>
          <w:rFonts w:asciiTheme="minorHAnsi" w:hAnsiTheme="minorHAnsi"/>
          <w:color w:val="auto"/>
          <w:sz w:val="22"/>
          <w:szCs w:val="22"/>
        </w:rPr>
      </w:pPr>
      <w:r w:rsidRPr="00F57D0B">
        <w:rPr>
          <w:rFonts w:asciiTheme="minorHAnsi" w:hAnsiTheme="minorHAnsi"/>
          <w:color w:val="auto"/>
          <w:sz w:val="22"/>
          <w:szCs w:val="22"/>
        </w:rPr>
        <w:t xml:space="preserve">5.12 – </w:t>
      </w:r>
      <w:r w:rsidR="000F4578">
        <w:rPr>
          <w:rFonts w:asciiTheme="minorHAnsi" w:hAnsiTheme="minorHAnsi"/>
          <w:color w:val="auto"/>
          <w:sz w:val="22"/>
          <w:szCs w:val="22"/>
        </w:rPr>
        <w:t xml:space="preserve">Professional bodies have </w:t>
      </w:r>
      <w:r w:rsidRPr="00F57D0B">
        <w:rPr>
          <w:rFonts w:asciiTheme="minorHAnsi" w:hAnsiTheme="minorHAnsi"/>
          <w:color w:val="auto"/>
          <w:sz w:val="22"/>
          <w:szCs w:val="22"/>
        </w:rPr>
        <w:t xml:space="preserve">Codes of Conduct </w:t>
      </w:r>
      <w:r w:rsidR="000F4578">
        <w:rPr>
          <w:rFonts w:asciiTheme="minorHAnsi" w:hAnsiTheme="minorHAnsi"/>
          <w:color w:val="auto"/>
          <w:sz w:val="22"/>
          <w:szCs w:val="22"/>
        </w:rPr>
        <w:t xml:space="preserve">which </w:t>
      </w:r>
      <w:r w:rsidRPr="00F57D0B">
        <w:rPr>
          <w:rFonts w:asciiTheme="minorHAnsi" w:hAnsiTheme="minorHAnsi"/>
          <w:color w:val="auto"/>
          <w:sz w:val="22"/>
          <w:szCs w:val="22"/>
        </w:rPr>
        <w:t>already expect members to seek assistance beyond their competence</w:t>
      </w:r>
      <w:r w:rsidR="000F4578">
        <w:rPr>
          <w:rFonts w:asciiTheme="minorHAnsi" w:hAnsiTheme="minorHAnsi"/>
          <w:color w:val="auto"/>
          <w:sz w:val="22"/>
          <w:szCs w:val="22"/>
        </w:rPr>
        <w:t>/ or to refrain from undertaking the project</w:t>
      </w:r>
      <w:r w:rsidRPr="00F57D0B">
        <w:rPr>
          <w:rFonts w:asciiTheme="minorHAnsi" w:hAnsiTheme="minorHAnsi"/>
          <w:color w:val="auto"/>
          <w:sz w:val="22"/>
          <w:szCs w:val="22"/>
        </w:rPr>
        <w:t>.</w:t>
      </w:r>
    </w:p>
    <w:p w14:paraId="36128A4A" w14:textId="77777777" w:rsidR="00F57D0B" w:rsidRPr="00F57D0B" w:rsidRDefault="00F57D0B" w:rsidP="00F57D0B">
      <w:pPr>
        <w:pStyle w:val="Default"/>
        <w:jc w:val="both"/>
        <w:rPr>
          <w:rFonts w:asciiTheme="minorHAnsi" w:hAnsiTheme="minorHAnsi"/>
          <w:color w:val="auto"/>
          <w:sz w:val="22"/>
          <w:szCs w:val="22"/>
        </w:rPr>
      </w:pPr>
    </w:p>
    <w:p w14:paraId="00500700" w14:textId="7447E275" w:rsidR="00F57D0B" w:rsidRPr="00F57D0B" w:rsidRDefault="00F57D0B" w:rsidP="00F57D0B">
      <w:pPr>
        <w:pStyle w:val="Default"/>
        <w:jc w:val="both"/>
        <w:rPr>
          <w:rFonts w:asciiTheme="minorHAnsi" w:hAnsiTheme="minorHAnsi"/>
          <w:color w:val="auto"/>
          <w:sz w:val="22"/>
          <w:szCs w:val="22"/>
        </w:rPr>
      </w:pPr>
      <w:r w:rsidRPr="00F57D0B">
        <w:rPr>
          <w:rFonts w:asciiTheme="minorHAnsi" w:hAnsiTheme="minorHAnsi"/>
          <w:color w:val="auto"/>
          <w:sz w:val="22"/>
          <w:szCs w:val="22"/>
        </w:rPr>
        <w:t xml:space="preserve">5.21 – Is re-accreditation to affect </w:t>
      </w:r>
      <w:r w:rsidR="000F4578">
        <w:rPr>
          <w:rFonts w:asciiTheme="minorHAnsi" w:hAnsiTheme="minorHAnsi"/>
          <w:color w:val="auto"/>
          <w:sz w:val="22"/>
          <w:szCs w:val="22"/>
        </w:rPr>
        <w:t>the Membership of these professionals with their professional body i</w:t>
      </w:r>
      <w:r w:rsidR="00E762DE">
        <w:rPr>
          <w:rFonts w:asciiTheme="minorHAnsi" w:hAnsiTheme="minorHAnsi"/>
          <w:color w:val="auto"/>
          <w:sz w:val="22"/>
          <w:szCs w:val="22"/>
        </w:rPr>
        <w:t>.</w:t>
      </w:r>
      <w:r w:rsidR="000F4578">
        <w:rPr>
          <w:rFonts w:asciiTheme="minorHAnsi" w:hAnsiTheme="minorHAnsi"/>
          <w:color w:val="auto"/>
          <w:sz w:val="22"/>
          <w:szCs w:val="22"/>
        </w:rPr>
        <w:t>e</w:t>
      </w:r>
      <w:r w:rsidR="00E762DE">
        <w:rPr>
          <w:rFonts w:asciiTheme="minorHAnsi" w:hAnsiTheme="minorHAnsi"/>
          <w:color w:val="auto"/>
          <w:sz w:val="22"/>
          <w:szCs w:val="22"/>
        </w:rPr>
        <w:t>.</w:t>
      </w:r>
      <w:r w:rsidR="000F4578">
        <w:rPr>
          <w:rFonts w:asciiTheme="minorHAnsi" w:hAnsiTheme="minorHAnsi"/>
          <w:color w:val="auto"/>
          <w:sz w:val="22"/>
          <w:szCs w:val="22"/>
        </w:rPr>
        <w:t xml:space="preserve"> their </w:t>
      </w:r>
      <w:r w:rsidRPr="00F57D0B">
        <w:rPr>
          <w:rFonts w:asciiTheme="minorHAnsi" w:hAnsiTheme="minorHAnsi"/>
          <w:color w:val="auto"/>
          <w:sz w:val="22"/>
          <w:szCs w:val="22"/>
        </w:rPr>
        <w:t>Charter</w:t>
      </w:r>
      <w:r w:rsidR="000F4578">
        <w:rPr>
          <w:rFonts w:asciiTheme="minorHAnsi" w:hAnsiTheme="minorHAnsi"/>
          <w:color w:val="auto"/>
          <w:sz w:val="22"/>
          <w:szCs w:val="22"/>
        </w:rPr>
        <w:t>ed status</w:t>
      </w:r>
      <w:r w:rsidRPr="00F57D0B">
        <w:rPr>
          <w:rFonts w:asciiTheme="minorHAnsi" w:hAnsiTheme="minorHAnsi"/>
          <w:color w:val="auto"/>
          <w:sz w:val="22"/>
          <w:szCs w:val="22"/>
        </w:rPr>
        <w:t>, or is the scope limited to HRRB work certification schemes?</w:t>
      </w:r>
    </w:p>
    <w:p w14:paraId="19293929" w14:textId="77777777" w:rsidR="00F57D0B" w:rsidRPr="00F57D0B" w:rsidRDefault="00F57D0B" w:rsidP="00F57D0B">
      <w:pPr>
        <w:pStyle w:val="Default"/>
        <w:jc w:val="both"/>
        <w:rPr>
          <w:rFonts w:asciiTheme="minorHAnsi" w:hAnsiTheme="minorHAnsi"/>
          <w:color w:val="auto"/>
          <w:sz w:val="22"/>
          <w:szCs w:val="22"/>
        </w:rPr>
      </w:pPr>
    </w:p>
    <w:p w14:paraId="5D82892D" w14:textId="257AFD52" w:rsidR="00F57D0B" w:rsidRPr="00F57D0B" w:rsidRDefault="00F57D0B" w:rsidP="00F57D0B">
      <w:pPr>
        <w:pStyle w:val="Default"/>
        <w:jc w:val="both"/>
        <w:rPr>
          <w:rFonts w:asciiTheme="minorHAnsi" w:hAnsiTheme="minorHAnsi"/>
          <w:color w:val="auto"/>
          <w:sz w:val="22"/>
          <w:szCs w:val="22"/>
        </w:rPr>
      </w:pPr>
      <w:r w:rsidRPr="00F57D0B">
        <w:rPr>
          <w:rFonts w:asciiTheme="minorHAnsi" w:hAnsiTheme="minorHAnsi"/>
          <w:color w:val="auto"/>
          <w:sz w:val="22"/>
          <w:szCs w:val="22"/>
        </w:rPr>
        <w:t xml:space="preserve">5.32 – The paragraph notes: “existing professional and accreditation bodies are best placed to define these requirements; develop the competence framework, education and training required to deliver this and any accreditation needed; and consider the remit of this role in introducing and overseeing the process by which residents would be able to access fire safety awareness training”.  </w:t>
      </w:r>
      <w:r w:rsidR="000020DB">
        <w:rPr>
          <w:rFonts w:asciiTheme="minorHAnsi" w:hAnsiTheme="minorHAnsi"/>
          <w:color w:val="auto"/>
          <w:sz w:val="22"/>
          <w:szCs w:val="22"/>
        </w:rPr>
        <w:t xml:space="preserve">It </w:t>
      </w:r>
      <w:r w:rsidR="00E762DE">
        <w:rPr>
          <w:rFonts w:asciiTheme="minorHAnsi" w:hAnsiTheme="minorHAnsi"/>
          <w:color w:val="auto"/>
          <w:sz w:val="22"/>
          <w:szCs w:val="22"/>
        </w:rPr>
        <w:t xml:space="preserve">is </w:t>
      </w:r>
      <w:r w:rsidR="000020DB">
        <w:rPr>
          <w:rFonts w:asciiTheme="minorHAnsi" w:hAnsiTheme="minorHAnsi"/>
          <w:color w:val="auto"/>
          <w:sz w:val="22"/>
          <w:szCs w:val="22"/>
        </w:rPr>
        <w:t xml:space="preserve">essential that we as a professional body, with one of the critical disciplines necessary for the successful implementation of the Report’s recommendations </w:t>
      </w:r>
      <w:r w:rsidR="00E762DE">
        <w:rPr>
          <w:rFonts w:asciiTheme="minorHAnsi" w:hAnsiTheme="minorHAnsi"/>
          <w:color w:val="auto"/>
          <w:sz w:val="22"/>
          <w:szCs w:val="22"/>
        </w:rPr>
        <w:t xml:space="preserve">are </w:t>
      </w:r>
      <w:r w:rsidRPr="00F57D0B">
        <w:rPr>
          <w:rFonts w:asciiTheme="minorHAnsi" w:hAnsiTheme="minorHAnsi"/>
          <w:color w:val="auto"/>
          <w:sz w:val="22"/>
          <w:szCs w:val="22"/>
        </w:rPr>
        <w:t xml:space="preserve">involved in this internally and with like organisations.  </w:t>
      </w:r>
    </w:p>
    <w:p w14:paraId="73D55CCA" w14:textId="77777777" w:rsidR="00F57D0B" w:rsidRPr="00F57D0B" w:rsidRDefault="00F57D0B" w:rsidP="00F57D0B">
      <w:pPr>
        <w:pStyle w:val="Default"/>
        <w:jc w:val="both"/>
        <w:rPr>
          <w:rFonts w:asciiTheme="minorHAnsi" w:hAnsiTheme="minorHAnsi"/>
          <w:color w:val="auto"/>
          <w:sz w:val="22"/>
          <w:szCs w:val="22"/>
        </w:rPr>
      </w:pPr>
    </w:p>
    <w:p w14:paraId="5B55B4CE" w14:textId="77777777" w:rsidR="00F57D0B" w:rsidRPr="000020DB" w:rsidRDefault="000020DB" w:rsidP="00F57D0B">
      <w:pPr>
        <w:pStyle w:val="Default"/>
        <w:jc w:val="both"/>
        <w:rPr>
          <w:rFonts w:asciiTheme="minorHAnsi" w:hAnsiTheme="minorHAnsi"/>
          <w:b/>
          <w:bCs/>
          <w:color w:val="auto"/>
          <w:sz w:val="28"/>
          <w:szCs w:val="28"/>
        </w:rPr>
      </w:pPr>
      <w:r w:rsidRPr="000020DB">
        <w:rPr>
          <w:rFonts w:asciiTheme="minorHAnsi" w:hAnsiTheme="minorHAnsi"/>
          <w:b/>
          <w:bCs/>
          <w:color w:val="auto"/>
          <w:sz w:val="28"/>
          <w:szCs w:val="28"/>
        </w:rPr>
        <w:t>Chapter Six</w:t>
      </w:r>
    </w:p>
    <w:p w14:paraId="020633C2" w14:textId="763FC219" w:rsidR="00F57D0B" w:rsidRPr="00F57D0B" w:rsidRDefault="00F57D0B" w:rsidP="00F57D0B">
      <w:pPr>
        <w:pStyle w:val="Default"/>
        <w:jc w:val="both"/>
        <w:rPr>
          <w:rFonts w:asciiTheme="minorHAnsi" w:hAnsiTheme="minorHAnsi"/>
          <w:color w:val="auto"/>
          <w:sz w:val="22"/>
          <w:szCs w:val="22"/>
        </w:rPr>
      </w:pPr>
      <w:r w:rsidRPr="00F57D0B">
        <w:rPr>
          <w:rFonts w:asciiTheme="minorHAnsi" w:hAnsiTheme="minorHAnsi"/>
          <w:color w:val="auto"/>
          <w:sz w:val="22"/>
          <w:szCs w:val="22"/>
        </w:rPr>
        <w:t xml:space="preserve">6.2 – if </w:t>
      </w:r>
      <w:r w:rsidR="000020DB">
        <w:rPr>
          <w:rFonts w:asciiTheme="minorHAnsi" w:hAnsiTheme="minorHAnsi"/>
          <w:color w:val="auto"/>
          <w:sz w:val="22"/>
          <w:szCs w:val="22"/>
        </w:rPr>
        <w:t xml:space="preserve">there is evidence that </w:t>
      </w:r>
      <w:r w:rsidRPr="00F57D0B">
        <w:rPr>
          <w:rFonts w:asciiTheme="minorHAnsi" w:hAnsiTheme="minorHAnsi"/>
          <w:color w:val="auto"/>
          <w:sz w:val="22"/>
          <w:szCs w:val="22"/>
        </w:rPr>
        <w:t xml:space="preserve">people are unclear about roles, </w:t>
      </w:r>
      <w:r w:rsidR="000020DB">
        <w:rPr>
          <w:rFonts w:asciiTheme="minorHAnsi" w:hAnsiTheme="minorHAnsi"/>
          <w:color w:val="auto"/>
          <w:sz w:val="22"/>
          <w:szCs w:val="22"/>
        </w:rPr>
        <w:t xml:space="preserve">we consider that </w:t>
      </w:r>
      <w:r w:rsidRPr="00F57D0B">
        <w:rPr>
          <w:rFonts w:asciiTheme="minorHAnsi" w:hAnsiTheme="minorHAnsi"/>
          <w:color w:val="auto"/>
          <w:sz w:val="22"/>
          <w:szCs w:val="22"/>
        </w:rPr>
        <w:t xml:space="preserve">this is a procurement or project management failing </w:t>
      </w:r>
      <w:r w:rsidR="000020DB">
        <w:rPr>
          <w:rFonts w:asciiTheme="minorHAnsi" w:hAnsiTheme="minorHAnsi"/>
          <w:color w:val="auto"/>
          <w:sz w:val="22"/>
          <w:szCs w:val="22"/>
        </w:rPr>
        <w:t xml:space="preserve">as opposed to </w:t>
      </w:r>
      <w:r w:rsidRPr="00F57D0B">
        <w:rPr>
          <w:rFonts w:asciiTheme="minorHAnsi" w:hAnsiTheme="minorHAnsi"/>
          <w:color w:val="auto"/>
          <w:sz w:val="22"/>
          <w:szCs w:val="22"/>
        </w:rPr>
        <w:t>the fault of guidance documents like ADB</w:t>
      </w:r>
      <w:r w:rsidR="000020DB">
        <w:rPr>
          <w:rFonts w:asciiTheme="minorHAnsi" w:hAnsiTheme="minorHAnsi"/>
          <w:color w:val="auto"/>
          <w:sz w:val="22"/>
          <w:szCs w:val="22"/>
        </w:rPr>
        <w:t xml:space="preserve"> and effective communication and/or training</w:t>
      </w:r>
      <w:r w:rsidRPr="00F57D0B">
        <w:rPr>
          <w:rFonts w:asciiTheme="minorHAnsi" w:hAnsiTheme="minorHAnsi"/>
          <w:color w:val="auto"/>
          <w:sz w:val="22"/>
          <w:szCs w:val="22"/>
        </w:rPr>
        <w:t>.</w:t>
      </w:r>
    </w:p>
    <w:p w14:paraId="42FC42B0" w14:textId="77777777" w:rsidR="00F57D0B" w:rsidRPr="00F57D0B" w:rsidRDefault="00F57D0B" w:rsidP="00F57D0B">
      <w:pPr>
        <w:pStyle w:val="Default"/>
        <w:jc w:val="both"/>
        <w:rPr>
          <w:rFonts w:asciiTheme="minorHAnsi" w:hAnsiTheme="minorHAnsi"/>
          <w:color w:val="auto"/>
          <w:sz w:val="22"/>
          <w:szCs w:val="22"/>
        </w:rPr>
      </w:pPr>
    </w:p>
    <w:p w14:paraId="62973008" w14:textId="77777777" w:rsidR="00F57D0B" w:rsidRPr="00F57D0B" w:rsidRDefault="00F57D0B" w:rsidP="00F57D0B">
      <w:pPr>
        <w:pStyle w:val="Default"/>
        <w:jc w:val="both"/>
        <w:rPr>
          <w:rFonts w:asciiTheme="minorHAnsi" w:hAnsiTheme="minorHAnsi"/>
          <w:color w:val="auto"/>
          <w:sz w:val="22"/>
          <w:szCs w:val="22"/>
        </w:rPr>
      </w:pPr>
      <w:r w:rsidRPr="00F57D0B">
        <w:rPr>
          <w:rFonts w:asciiTheme="minorHAnsi" w:hAnsiTheme="minorHAnsi"/>
          <w:color w:val="auto"/>
          <w:sz w:val="22"/>
          <w:szCs w:val="22"/>
        </w:rPr>
        <w:t>6.3 – negotiating ADB down is not possible with a competent BCO or AI.  There must be an adequate alternative approach.  If the alternative approach is acceptable via consultation with the BCO and Fire and Rescue Service, then it has received peer review.  This part belongs in the competency section</w:t>
      </w:r>
      <w:r w:rsidR="000020DB">
        <w:rPr>
          <w:rFonts w:asciiTheme="minorHAnsi" w:hAnsiTheme="minorHAnsi"/>
          <w:color w:val="auto"/>
          <w:sz w:val="22"/>
          <w:szCs w:val="22"/>
        </w:rPr>
        <w:t>, Section 5</w:t>
      </w:r>
      <w:r w:rsidRPr="00F57D0B">
        <w:rPr>
          <w:rFonts w:asciiTheme="minorHAnsi" w:hAnsiTheme="minorHAnsi"/>
          <w:color w:val="auto"/>
          <w:sz w:val="22"/>
          <w:szCs w:val="22"/>
        </w:rPr>
        <w:t>.</w:t>
      </w:r>
    </w:p>
    <w:p w14:paraId="5D1A886F" w14:textId="77777777" w:rsidR="00F57D0B" w:rsidRPr="00F57D0B" w:rsidRDefault="00F57D0B" w:rsidP="00F57D0B">
      <w:pPr>
        <w:pStyle w:val="Default"/>
        <w:jc w:val="both"/>
        <w:rPr>
          <w:rFonts w:asciiTheme="minorHAnsi" w:hAnsiTheme="minorHAnsi"/>
          <w:color w:val="auto"/>
          <w:sz w:val="22"/>
          <w:szCs w:val="22"/>
        </w:rPr>
      </w:pPr>
    </w:p>
    <w:p w14:paraId="5DF0E8E2" w14:textId="51EA2879" w:rsidR="00F57D0B" w:rsidRPr="00F57D0B" w:rsidRDefault="00F57D0B" w:rsidP="00F57D0B">
      <w:pPr>
        <w:pStyle w:val="Default"/>
        <w:jc w:val="both"/>
        <w:rPr>
          <w:rFonts w:asciiTheme="minorHAnsi" w:hAnsiTheme="minorHAnsi"/>
          <w:color w:val="auto"/>
          <w:sz w:val="22"/>
          <w:szCs w:val="22"/>
        </w:rPr>
      </w:pPr>
      <w:r w:rsidRPr="00F57D0B">
        <w:rPr>
          <w:rFonts w:asciiTheme="minorHAnsi" w:hAnsiTheme="minorHAnsi"/>
          <w:color w:val="auto"/>
          <w:sz w:val="22"/>
          <w:szCs w:val="22"/>
        </w:rPr>
        <w:t xml:space="preserve">6.7 – Guidance should not be owned by ‘industry’.  The </w:t>
      </w:r>
      <w:r w:rsidR="0087431B">
        <w:rPr>
          <w:rFonts w:asciiTheme="minorHAnsi" w:hAnsiTheme="minorHAnsi"/>
          <w:color w:val="auto"/>
          <w:sz w:val="22"/>
          <w:szCs w:val="22"/>
        </w:rPr>
        <w:t>Report</w:t>
      </w:r>
      <w:r w:rsidRPr="00F57D0B">
        <w:rPr>
          <w:rFonts w:asciiTheme="minorHAnsi" w:hAnsiTheme="minorHAnsi"/>
          <w:color w:val="auto"/>
          <w:sz w:val="22"/>
          <w:szCs w:val="22"/>
        </w:rPr>
        <w:t xml:space="preserve"> says: “this is because it should be owned and produced by those who are accountable for managing building safety risk and therefore have a strong incentive to ensure guidance keeps pace with innovation”.  Auditing companies marking their own homework has not worked (see market behaviour in the Big Four and major contractors carrying out Government work).  There needs to be clear water between users and enforcers.  </w:t>
      </w:r>
      <w:r w:rsidR="000020DB">
        <w:rPr>
          <w:rFonts w:asciiTheme="minorHAnsi" w:hAnsiTheme="minorHAnsi"/>
          <w:color w:val="auto"/>
          <w:sz w:val="22"/>
          <w:szCs w:val="22"/>
        </w:rPr>
        <w:t>There is also</w:t>
      </w:r>
      <w:r w:rsidR="00E762DE">
        <w:rPr>
          <w:rFonts w:asciiTheme="minorHAnsi" w:hAnsiTheme="minorHAnsi"/>
          <w:color w:val="auto"/>
          <w:sz w:val="22"/>
          <w:szCs w:val="22"/>
        </w:rPr>
        <w:t xml:space="preserve"> </w:t>
      </w:r>
      <w:r w:rsidR="000D5585">
        <w:rPr>
          <w:rFonts w:asciiTheme="minorHAnsi" w:hAnsiTheme="minorHAnsi"/>
          <w:color w:val="auto"/>
          <w:sz w:val="22"/>
          <w:szCs w:val="22"/>
        </w:rPr>
        <w:t>a question</w:t>
      </w:r>
      <w:r w:rsidR="000020DB">
        <w:rPr>
          <w:rFonts w:asciiTheme="minorHAnsi" w:hAnsiTheme="minorHAnsi"/>
          <w:color w:val="auto"/>
          <w:sz w:val="22"/>
          <w:szCs w:val="22"/>
        </w:rPr>
        <w:t xml:space="preserve"> over who or which body </w:t>
      </w:r>
      <w:r w:rsidRPr="00F57D0B">
        <w:rPr>
          <w:rFonts w:asciiTheme="minorHAnsi" w:hAnsiTheme="minorHAnsi"/>
          <w:color w:val="auto"/>
          <w:sz w:val="22"/>
          <w:szCs w:val="22"/>
        </w:rPr>
        <w:t xml:space="preserve">in </w:t>
      </w:r>
      <w:r w:rsidR="000020DB">
        <w:rPr>
          <w:rFonts w:asciiTheme="minorHAnsi" w:hAnsiTheme="minorHAnsi"/>
          <w:color w:val="auto"/>
          <w:sz w:val="22"/>
          <w:szCs w:val="22"/>
        </w:rPr>
        <w:t xml:space="preserve">the </w:t>
      </w:r>
      <w:r w:rsidRPr="00F57D0B">
        <w:rPr>
          <w:rFonts w:asciiTheme="minorHAnsi" w:hAnsiTheme="minorHAnsi"/>
          <w:color w:val="auto"/>
          <w:sz w:val="22"/>
          <w:szCs w:val="22"/>
        </w:rPr>
        <w:t>industry w</w:t>
      </w:r>
      <w:r w:rsidR="000020DB">
        <w:rPr>
          <w:rFonts w:asciiTheme="minorHAnsi" w:hAnsiTheme="minorHAnsi"/>
          <w:color w:val="auto"/>
          <w:sz w:val="22"/>
          <w:szCs w:val="22"/>
        </w:rPr>
        <w:t>ould</w:t>
      </w:r>
      <w:r w:rsidRPr="00F57D0B">
        <w:rPr>
          <w:rFonts w:asciiTheme="minorHAnsi" w:hAnsiTheme="minorHAnsi"/>
          <w:color w:val="auto"/>
          <w:sz w:val="22"/>
          <w:szCs w:val="22"/>
        </w:rPr>
        <w:t xml:space="preserve"> lead, and why?</w:t>
      </w:r>
    </w:p>
    <w:p w14:paraId="7E2308C7" w14:textId="77777777" w:rsidR="00F57D0B" w:rsidRPr="00F57D0B" w:rsidRDefault="00F57D0B" w:rsidP="00F57D0B">
      <w:pPr>
        <w:pStyle w:val="Default"/>
        <w:jc w:val="both"/>
        <w:rPr>
          <w:rFonts w:asciiTheme="minorHAnsi" w:hAnsiTheme="minorHAnsi"/>
          <w:color w:val="auto"/>
          <w:sz w:val="22"/>
          <w:szCs w:val="22"/>
        </w:rPr>
      </w:pPr>
    </w:p>
    <w:p w14:paraId="2114C2F7" w14:textId="181E2EA1" w:rsidR="000D5585" w:rsidRPr="00F57D0B" w:rsidRDefault="00F57D0B" w:rsidP="00F57D0B">
      <w:pPr>
        <w:pStyle w:val="Default"/>
        <w:jc w:val="both"/>
        <w:rPr>
          <w:rFonts w:asciiTheme="minorHAnsi" w:hAnsiTheme="minorHAnsi"/>
          <w:color w:val="auto"/>
          <w:sz w:val="22"/>
          <w:szCs w:val="22"/>
        </w:rPr>
      </w:pPr>
      <w:r w:rsidRPr="00F57D0B">
        <w:rPr>
          <w:rFonts w:asciiTheme="minorHAnsi" w:hAnsiTheme="minorHAnsi"/>
          <w:color w:val="auto"/>
          <w:sz w:val="22"/>
          <w:szCs w:val="22"/>
        </w:rPr>
        <w:t xml:space="preserve">6.10 – </w:t>
      </w:r>
      <w:r w:rsidR="000020DB">
        <w:rPr>
          <w:rFonts w:asciiTheme="minorHAnsi" w:hAnsiTheme="minorHAnsi"/>
          <w:color w:val="auto"/>
          <w:sz w:val="22"/>
          <w:szCs w:val="22"/>
        </w:rPr>
        <w:t xml:space="preserve">we consider that </w:t>
      </w:r>
      <w:r w:rsidRPr="00F57D0B">
        <w:rPr>
          <w:rFonts w:asciiTheme="minorHAnsi" w:hAnsiTheme="minorHAnsi"/>
          <w:color w:val="auto"/>
          <w:sz w:val="22"/>
          <w:szCs w:val="22"/>
        </w:rPr>
        <w:t>industry fragmentation is not a good argument for ‘industry’ to own guidance.  It would seem better if the BSI owned ‘standards’ (guides) and that if competent people recognised innovation was</w:t>
      </w:r>
      <w:r w:rsidR="000020DB">
        <w:rPr>
          <w:rFonts w:asciiTheme="minorHAnsi" w:hAnsiTheme="minorHAnsi"/>
          <w:color w:val="auto"/>
          <w:sz w:val="22"/>
          <w:szCs w:val="22"/>
        </w:rPr>
        <w:t xml:space="preserve"> </w:t>
      </w:r>
      <w:r w:rsidRPr="00F57D0B">
        <w:rPr>
          <w:rFonts w:asciiTheme="minorHAnsi" w:hAnsiTheme="minorHAnsi"/>
          <w:color w:val="auto"/>
          <w:sz w:val="22"/>
          <w:szCs w:val="22"/>
        </w:rPr>
        <w:t>n</w:t>
      </w:r>
      <w:r w:rsidR="000020DB">
        <w:rPr>
          <w:rFonts w:asciiTheme="minorHAnsi" w:hAnsiTheme="minorHAnsi"/>
          <w:color w:val="auto"/>
          <w:sz w:val="22"/>
          <w:szCs w:val="22"/>
        </w:rPr>
        <w:t>o</w:t>
      </w:r>
      <w:r w:rsidRPr="00F57D0B">
        <w:rPr>
          <w:rFonts w:asciiTheme="minorHAnsi" w:hAnsiTheme="minorHAnsi"/>
          <w:color w:val="auto"/>
          <w:sz w:val="22"/>
          <w:szCs w:val="22"/>
        </w:rPr>
        <w:t xml:space="preserve">t being covered, it is incumbent on them to notify the BSI and convene a panel of specialists and other stakeholders to produce a new </w:t>
      </w:r>
      <w:proofErr w:type="gramStart"/>
      <w:r w:rsidRPr="00F57D0B">
        <w:rPr>
          <w:rFonts w:asciiTheme="minorHAnsi" w:hAnsiTheme="minorHAnsi"/>
          <w:color w:val="auto"/>
          <w:sz w:val="22"/>
          <w:szCs w:val="22"/>
        </w:rPr>
        <w:t>BS, or</w:t>
      </w:r>
      <w:proofErr w:type="gramEnd"/>
      <w:r w:rsidRPr="00F57D0B">
        <w:rPr>
          <w:rFonts w:asciiTheme="minorHAnsi" w:hAnsiTheme="minorHAnsi"/>
          <w:color w:val="auto"/>
          <w:sz w:val="22"/>
          <w:szCs w:val="22"/>
        </w:rPr>
        <w:t xml:space="preserve"> revise an existing one</w:t>
      </w:r>
      <w:r w:rsidR="000D5585">
        <w:rPr>
          <w:rFonts w:asciiTheme="minorHAnsi" w:hAnsiTheme="minorHAnsi"/>
          <w:color w:val="auto"/>
          <w:sz w:val="22"/>
          <w:szCs w:val="22"/>
        </w:rPr>
        <w:t xml:space="preserve">. The costs of such Standards </w:t>
      </w:r>
      <w:r w:rsidR="00733878">
        <w:rPr>
          <w:rFonts w:asciiTheme="minorHAnsi" w:hAnsiTheme="minorHAnsi"/>
          <w:color w:val="auto"/>
          <w:sz w:val="22"/>
          <w:szCs w:val="22"/>
        </w:rPr>
        <w:t xml:space="preserve">should be subsidised to ensure wide acceptance and </w:t>
      </w:r>
      <w:r w:rsidR="000D5585">
        <w:rPr>
          <w:rFonts w:asciiTheme="minorHAnsi" w:hAnsiTheme="minorHAnsi"/>
          <w:color w:val="auto"/>
          <w:sz w:val="22"/>
          <w:szCs w:val="22"/>
        </w:rPr>
        <w:t>must not be so high</w:t>
      </w:r>
      <w:r w:rsidR="00733878">
        <w:rPr>
          <w:rFonts w:asciiTheme="minorHAnsi" w:hAnsiTheme="minorHAnsi"/>
          <w:color w:val="auto"/>
          <w:sz w:val="22"/>
          <w:szCs w:val="22"/>
        </w:rPr>
        <w:t xml:space="preserve"> as</w:t>
      </w:r>
      <w:r w:rsidR="000D5585">
        <w:rPr>
          <w:rFonts w:asciiTheme="minorHAnsi" w:hAnsiTheme="minorHAnsi"/>
          <w:color w:val="auto"/>
          <w:sz w:val="22"/>
          <w:szCs w:val="22"/>
        </w:rPr>
        <w:t xml:space="preserve"> to make them prohibitive to the SMEs</w:t>
      </w:r>
    </w:p>
    <w:p w14:paraId="34883D32" w14:textId="77777777" w:rsidR="00F57D0B" w:rsidRPr="00F57D0B" w:rsidRDefault="00F57D0B" w:rsidP="00F57D0B">
      <w:pPr>
        <w:pStyle w:val="Default"/>
        <w:jc w:val="both"/>
        <w:rPr>
          <w:rFonts w:asciiTheme="minorHAnsi" w:hAnsiTheme="minorHAnsi"/>
          <w:color w:val="auto"/>
          <w:sz w:val="22"/>
          <w:szCs w:val="22"/>
        </w:rPr>
      </w:pPr>
    </w:p>
    <w:p w14:paraId="69A07B3B" w14:textId="7A54F6AC" w:rsidR="00F57D0B" w:rsidRPr="00F57D0B" w:rsidRDefault="00F57D0B" w:rsidP="00F57D0B">
      <w:pPr>
        <w:pStyle w:val="Default"/>
        <w:jc w:val="both"/>
        <w:rPr>
          <w:rFonts w:asciiTheme="minorHAnsi" w:hAnsiTheme="minorHAnsi"/>
          <w:color w:val="auto"/>
          <w:sz w:val="22"/>
          <w:szCs w:val="22"/>
        </w:rPr>
      </w:pPr>
      <w:r w:rsidRPr="00F57D0B">
        <w:rPr>
          <w:rFonts w:asciiTheme="minorHAnsi" w:hAnsiTheme="minorHAnsi"/>
          <w:color w:val="auto"/>
          <w:sz w:val="22"/>
          <w:szCs w:val="22"/>
        </w:rPr>
        <w:t xml:space="preserve">6.15 – what is described here is how the BSI operates, with various committees writing standards.  Why not expand </w:t>
      </w:r>
      <w:r w:rsidR="000020DB">
        <w:rPr>
          <w:rFonts w:asciiTheme="minorHAnsi" w:hAnsiTheme="minorHAnsi"/>
          <w:color w:val="auto"/>
          <w:sz w:val="22"/>
          <w:szCs w:val="22"/>
        </w:rPr>
        <w:t>its</w:t>
      </w:r>
      <w:r w:rsidRPr="00F57D0B">
        <w:rPr>
          <w:rFonts w:asciiTheme="minorHAnsi" w:hAnsiTheme="minorHAnsi"/>
          <w:color w:val="auto"/>
          <w:sz w:val="22"/>
          <w:szCs w:val="22"/>
        </w:rPr>
        <w:t xml:space="preserve"> capacity?</w:t>
      </w:r>
    </w:p>
    <w:p w14:paraId="4CA47EFE" w14:textId="77777777" w:rsidR="00F57D0B" w:rsidRPr="00F57D0B" w:rsidRDefault="00F57D0B" w:rsidP="00F57D0B">
      <w:pPr>
        <w:pStyle w:val="Default"/>
        <w:jc w:val="both"/>
        <w:rPr>
          <w:rFonts w:asciiTheme="minorHAnsi" w:hAnsiTheme="minorHAnsi"/>
          <w:color w:val="auto"/>
          <w:sz w:val="22"/>
          <w:szCs w:val="22"/>
        </w:rPr>
      </w:pPr>
    </w:p>
    <w:p w14:paraId="07762266" w14:textId="77777777" w:rsidR="004D11CB" w:rsidRDefault="004D11CB" w:rsidP="00F57D0B">
      <w:pPr>
        <w:pStyle w:val="Default"/>
        <w:jc w:val="both"/>
        <w:rPr>
          <w:rFonts w:asciiTheme="minorHAnsi" w:hAnsiTheme="minorHAnsi"/>
          <w:color w:val="auto"/>
          <w:sz w:val="22"/>
          <w:szCs w:val="22"/>
        </w:rPr>
      </w:pPr>
    </w:p>
    <w:p w14:paraId="5DA8BA14" w14:textId="2888140E" w:rsidR="00F57D0B" w:rsidRPr="00F57D0B" w:rsidRDefault="00F57D0B" w:rsidP="00F57D0B">
      <w:pPr>
        <w:pStyle w:val="Default"/>
        <w:jc w:val="both"/>
        <w:rPr>
          <w:rFonts w:asciiTheme="minorHAnsi" w:hAnsiTheme="minorHAnsi"/>
          <w:color w:val="auto"/>
          <w:sz w:val="22"/>
          <w:szCs w:val="22"/>
        </w:rPr>
      </w:pPr>
      <w:r w:rsidRPr="00F57D0B">
        <w:rPr>
          <w:rFonts w:asciiTheme="minorHAnsi" w:hAnsiTheme="minorHAnsi"/>
          <w:color w:val="auto"/>
          <w:sz w:val="22"/>
          <w:szCs w:val="22"/>
        </w:rPr>
        <w:t>6.18 – This is a good model, although how will ‘industry’ be composed to produce guidance?</w:t>
      </w:r>
    </w:p>
    <w:p w14:paraId="2CF76902" w14:textId="77777777" w:rsidR="00F57D0B" w:rsidRPr="00F57D0B" w:rsidRDefault="00F57D0B" w:rsidP="00F57D0B">
      <w:pPr>
        <w:pStyle w:val="Default"/>
        <w:jc w:val="both"/>
        <w:rPr>
          <w:rFonts w:asciiTheme="minorHAnsi" w:hAnsiTheme="minorHAnsi"/>
          <w:color w:val="auto"/>
          <w:sz w:val="22"/>
          <w:szCs w:val="22"/>
        </w:rPr>
      </w:pPr>
    </w:p>
    <w:p w14:paraId="2A84401A" w14:textId="77EBA1A4" w:rsidR="00F57D0B" w:rsidRPr="00F57D0B" w:rsidRDefault="00F57D0B" w:rsidP="00F57D0B">
      <w:pPr>
        <w:pStyle w:val="Default"/>
        <w:jc w:val="both"/>
        <w:rPr>
          <w:rFonts w:asciiTheme="minorHAnsi" w:hAnsiTheme="minorHAnsi"/>
          <w:color w:val="auto"/>
          <w:sz w:val="22"/>
          <w:szCs w:val="22"/>
        </w:rPr>
      </w:pPr>
      <w:r w:rsidRPr="00F57D0B">
        <w:rPr>
          <w:rFonts w:asciiTheme="minorHAnsi" w:hAnsiTheme="minorHAnsi"/>
          <w:color w:val="auto"/>
          <w:sz w:val="22"/>
          <w:szCs w:val="22"/>
        </w:rPr>
        <w:t xml:space="preserve">6.21 – The BSI also operates in this way – </w:t>
      </w:r>
      <w:r w:rsidR="000020DB">
        <w:rPr>
          <w:rFonts w:asciiTheme="minorHAnsi" w:hAnsiTheme="minorHAnsi"/>
          <w:color w:val="auto"/>
          <w:sz w:val="22"/>
          <w:szCs w:val="22"/>
        </w:rPr>
        <w:t xml:space="preserve">this should be </w:t>
      </w:r>
      <w:r w:rsidRPr="00F57D0B">
        <w:rPr>
          <w:rFonts w:asciiTheme="minorHAnsi" w:hAnsiTheme="minorHAnsi"/>
          <w:color w:val="auto"/>
          <w:sz w:val="22"/>
          <w:szCs w:val="22"/>
        </w:rPr>
        <w:t>recognised?</w:t>
      </w:r>
    </w:p>
    <w:p w14:paraId="2E9BFF23" w14:textId="77777777" w:rsidR="00F57D0B" w:rsidRPr="00F57D0B" w:rsidRDefault="00F57D0B" w:rsidP="00F57D0B">
      <w:pPr>
        <w:pStyle w:val="Default"/>
        <w:jc w:val="both"/>
        <w:rPr>
          <w:rFonts w:asciiTheme="minorHAnsi" w:hAnsiTheme="minorHAnsi"/>
          <w:color w:val="auto"/>
          <w:sz w:val="22"/>
          <w:szCs w:val="22"/>
        </w:rPr>
      </w:pPr>
    </w:p>
    <w:p w14:paraId="3197A574" w14:textId="25A510EF" w:rsidR="00F57D0B" w:rsidRPr="00F57D0B" w:rsidRDefault="00F57D0B" w:rsidP="00F57D0B">
      <w:pPr>
        <w:pStyle w:val="Default"/>
        <w:jc w:val="both"/>
        <w:rPr>
          <w:rFonts w:asciiTheme="minorHAnsi" w:hAnsiTheme="minorHAnsi"/>
          <w:color w:val="auto"/>
          <w:sz w:val="22"/>
          <w:szCs w:val="22"/>
        </w:rPr>
      </w:pPr>
      <w:r w:rsidRPr="00F57D0B">
        <w:rPr>
          <w:rFonts w:asciiTheme="minorHAnsi" w:hAnsiTheme="minorHAnsi"/>
          <w:color w:val="auto"/>
          <w:sz w:val="22"/>
          <w:szCs w:val="22"/>
        </w:rPr>
        <w:t xml:space="preserve">6.26 – Robust Details would help simplify guidance – </w:t>
      </w:r>
      <w:r w:rsidR="000020DB">
        <w:rPr>
          <w:rFonts w:asciiTheme="minorHAnsi" w:hAnsiTheme="minorHAnsi"/>
          <w:color w:val="auto"/>
          <w:sz w:val="22"/>
          <w:szCs w:val="22"/>
        </w:rPr>
        <w:t xml:space="preserve">these should be </w:t>
      </w:r>
      <w:r w:rsidRPr="00F57D0B">
        <w:rPr>
          <w:rFonts w:asciiTheme="minorHAnsi" w:hAnsiTheme="minorHAnsi"/>
          <w:color w:val="auto"/>
          <w:sz w:val="22"/>
          <w:szCs w:val="22"/>
        </w:rPr>
        <w:t>considered?</w:t>
      </w:r>
    </w:p>
    <w:p w14:paraId="21B30E69" w14:textId="77777777" w:rsidR="00F57D0B" w:rsidRPr="00F57D0B" w:rsidRDefault="00F57D0B" w:rsidP="00F57D0B">
      <w:pPr>
        <w:pStyle w:val="Default"/>
        <w:jc w:val="both"/>
        <w:rPr>
          <w:rFonts w:asciiTheme="minorHAnsi" w:hAnsiTheme="minorHAnsi"/>
          <w:color w:val="auto"/>
          <w:sz w:val="22"/>
          <w:szCs w:val="22"/>
        </w:rPr>
      </w:pPr>
    </w:p>
    <w:p w14:paraId="6D3C9F9E" w14:textId="77777777" w:rsidR="00F57D0B" w:rsidRPr="00F57D0B" w:rsidRDefault="00F57D0B" w:rsidP="00F57D0B">
      <w:pPr>
        <w:pStyle w:val="Default"/>
        <w:jc w:val="both"/>
        <w:rPr>
          <w:rFonts w:asciiTheme="minorHAnsi" w:hAnsiTheme="minorHAnsi"/>
          <w:color w:val="auto"/>
          <w:sz w:val="22"/>
          <w:szCs w:val="22"/>
        </w:rPr>
      </w:pPr>
      <w:r w:rsidRPr="00F57D0B">
        <w:rPr>
          <w:rFonts w:asciiTheme="minorHAnsi" w:hAnsiTheme="minorHAnsi"/>
          <w:color w:val="auto"/>
          <w:sz w:val="22"/>
          <w:szCs w:val="22"/>
        </w:rPr>
        <w:t>6.28 – The multi-access standpoint might create complexity.  What role will ‘industry’ play in ensuring the matrix is correctly poised to avoid safety gaps?</w:t>
      </w:r>
    </w:p>
    <w:p w14:paraId="49C4698F" w14:textId="77777777" w:rsidR="00F57D0B" w:rsidRPr="00F57D0B" w:rsidRDefault="00F57D0B" w:rsidP="00F57D0B">
      <w:pPr>
        <w:pStyle w:val="Default"/>
        <w:jc w:val="both"/>
        <w:rPr>
          <w:rFonts w:asciiTheme="minorHAnsi" w:hAnsiTheme="minorHAnsi"/>
          <w:color w:val="auto"/>
          <w:sz w:val="22"/>
          <w:szCs w:val="22"/>
        </w:rPr>
      </w:pPr>
    </w:p>
    <w:p w14:paraId="0F1261DA" w14:textId="77777777" w:rsidR="00F57D0B" w:rsidRPr="000020DB" w:rsidRDefault="000020DB" w:rsidP="00F57D0B">
      <w:pPr>
        <w:pStyle w:val="Default"/>
        <w:jc w:val="both"/>
        <w:rPr>
          <w:rFonts w:asciiTheme="minorHAnsi" w:hAnsiTheme="minorHAnsi"/>
          <w:b/>
          <w:color w:val="auto"/>
          <w:sz w:val="28"/>
          <w:szCs w:val="28"/>
        </w:rPr>
      </w:pPr>
      <w:r w:rsidRPr="000020DB">
        <w:rPr>
          <w:rFonts w:asciiTheme="minorHAnsi" w:hAnsiTheme="minorHAnsi"/>
          <w:b/>
          <w:color w:val="auto"/>
          <w:sz w:val="28"/>
          <w:szCs w:val="28"/>
        </w:rPr>
        <w:t>Chapter Seven</w:t>
      </w:r>
    </w:p>
    <w:p w14:paraId="4F40A5F0" w14:textId="0B9A1590" w:rsidR="000020DB" w:rsidRDefault="00F57D0B" w:rsidP="00F57D0B">
      <w:pPr>
        <w:pStyle w:val="Default"/>
        <w:jc w:val="both"/>
        <w:rPr>
          <w:rFonts w:asciiTheme="minorHAnsi" w:hAnsiTheme="minorHAnsi"/>
          <w:color w:val="auto"/>
          <w:sz w:val="22"/>
          <w:szCs w:val="22"/>
        </w:rPr>
      </w:pPr>
      <w:r w:rsidRPr="00F57D0B">
        <w:rPr>
          <w:rFonts w:asciiTheme="minorHAnsi" w:hAnsiTheme="minorHAnsi"/>
          <w:color w:val="auto"/>
          <w:sz w:val="22"/>
          <w:szCs w:val="22"/>
        </w:rPr>
        <w:t>7.1 - the narrative on desktop studies is negative, and this is wrong.  They are a tool, just like ALARP justifications such as cost benefit analysis and the unpalatable gross disproportion</w:t>
      </w:r>
      <w:r w:rsidR="00E762DE">
        <w:rPr>
          <w:rFonts w:asciiTheme="minorHAnsi" w:hAnsiTheme="minorHAnsi"/>
          <w:color w:val="auto"/>
          <w:sz w:val="22"/>
          <w:szCs w:val="22"/>
        </w:rPr>
        <w:t>ate</w:t>
      </w:r>
      <w:r w:rsidRPr="00F57D0B">
        <w:rPr>
          <w:rFonts w:asciiTheme="minorHAnsi" w:hAnsiTheme="minorHAnsi"/>
          <w:color w:val="auto"/>
          <w:sz w:val="22"/>
          <w:szCs w:val="22"/>
        </w:rPr>
        <w:t xml:space="preserve"> test</w:t>
      </w:r>
      <w:r w:rsidR="00E762DE">
        <w:rPr>
          <w:rFonts w:asciiTheme="minorHAnsi" w:hAnsiTheme="minorHAnsi"/>
          <w:color w:val="auto"/>
          <w:sz w:val="22"/>
          <w:szCs w:val="22"/>
        </w:rPr>
        <w:t>s</w:t>
      </w:r>
      <w:r w:rsidRPr="00F57D0B">
        <w:rPr>
          <w:rFonts w:asciiTheme="minorHAnsi" w:hAnsiTheme="minorHAnsi"/>
          <w:color w:val="auto"/>
          <w:sz w:val="22"/>
          <w:szCs w:val="22"/>
        </w:rPr>
        <w:t xml:space="preserve">.  They are incredibly useful in existing buildings to consider options over the ‘no worse than existing’ premise (paragraph 1.85 notes proportionate improvement over the building life cycle, which hints at removing the ‘no worse than existing’ premise in the interim </w:t>
      </w:r>
      <w:r w:rsidR="0087431B">
        <w:rPr>
          <w:rFonts w:asciiTheme="minorHAnsi" w:hAnsiTheme="minorHAnsi"/>
          <w:color w:val="auto"/>
          <w:sz w:val="22"/>
          <w:szCs w:val="22"/>
        </w:rPr>
        <w:t>Report</w:t>
      </w:r>
      <w:r w:rsidRPr="00F57D0B">
        <w:rPr>
          <w:rFonts w:asciiTheme="minorHAnsi" w:hAnsiTheme="minorHAnsi"/>
          <w:color w:val="auto"/>
          <w:sz w:val="22"/>
          <w:szCs w:val="22"/>
        </w:rPr>
        <w:t>).  Desktop studies can be used to show, in principal, or evidentially if they are semi or fully quantitative, that ‘no worse than existing’ does</w:t>
      </w:r>
      <w:r w:rsidR="000020DB">
        <w:rPr>
          <w:rFonts w:asciiTheme="minorHAnsi" w:hAnsiTheme="minorHAnsi"/>
          <w:color w:val="auto"/>
          <w:sz w:val="22"/>
          <w:szCs w:val="22"/>
        </w:rPr>
        <w:t xml:space="preserve"> </w:t>
      </w:r>
      <w:r w:rsidRPr="00F57D0B">
        <w:rPr>
          <w:rFonts w:asciiTheme="minorHAnsi" w:hAnsiTheme="minorHAnsi"/>
          <w:color w:val="auto"/>
          <w:sz w:val="22"/>
          <w:szCs w:val="22"/>
        </w:rPr>
        <w:t>n</w:t>
      </w:r>
      <w:r w:rsidR="000020DB">
        <w:rPr>
          <w:rFonts w:asciiTheme="minorHAnsi" w:hAnsiTheme="minorHAnsi"/>
          <w:color w:val="auto"/>
          <w:sz w:val="22"/>
          <w:szCs w:val="22"/>
        </w:rPr>
        <w:t>o</w:t>
      </w:r>
      <w:r w:rsidRPr="00F57D0B">
        <w:rPr>
          <w:rFonts w:asciiTheme="minorHAnsi" w:hAnsiTheme="minorHAnsi"/>
          <w:color w:val="auto"/>
          <w:sz w:val="22"/>
          <w:szCs w:val="22"/>
        </w:rPr>
        <w:t xml:space="preserve">t translate to ‘safe in case of fire’.  This argument applies to residential high-rise, care homes and hospitals, and this needs building on. </w:t>
      </w:r>
    </w:p>
    <w:p w14:paraId="7E2AB56F" w14:textId="77777777" w:rsidR="000020DB" w:rsidRDefault="000020DB" w:rsidP="00F57D0B">
      <w:pPr>
        <w:pStyle w:val="Default"/>
        <w:jc w:val="both"/>
        <w:rPr>
          <w:rFonts w:asciiTheme="minorHAnsi" w:hAnsiTheme="minorHAnsi"/>
          <w:color w:val="auto"/>
          <w:sz w:val="22"/>
          <w:szCs w:val="22"/>
        </w:rPr>
      </w:pPr>
    </w:p>
    <w:p w14:paraId="477F6DF1" w14:textId="0ED52B71" w:rsidR="000020DB" w:rsidRPr="000020DB" w:rsidRDefault="000020DB" w:rsidP="00F57D0B">
      <w:pPr>
        <w:pStyle w:val="Default"/>
        <w:jc w:val="both"/>
        <w:rPr>
          <w:rFonts w:asciiTheme="minorHAnsi" w:hAnsiTheme="minorHAnsi"/>
          <w:color w:val="auto"/>
          <w:sz w:val="22"/>
          <w:szCs w:val="22"/>
        </w:rPr>
      </w:pPr>
      <w:r>
        <w:rPr>
          <w:rFonts w:asciiTheme="minorHAnsi" w:hAnsiTheme="minorHAnsi"/>
          <w:color w:val="auto"/>
          <w:sz w:val="22"/>
          <w:szCs w:val="22"/>
        </w:rPr>
        <w:t xml:space="preserve">CIAT responded to the consultation </w:t>
      </w:r>
      <w:r w:rsidR="00366DF4">
        <w:rPr>
          <w:rFonts w:asciiTheme="minorHAnsi" w:hAnsiTheme="minorHAnsi"/>
          <w:color w:val="auto"/>
          <w:sz w:val="22"/>
          <w:szCs w:val="22"/>
        </w:rPr>
        <w:t>Desktop Studies</w:t>
      </w:r>
      <w:bookmarkStart w:id="0" w:name="_GoBack"/>
      <w:bookmarkEnd w:id="0"/>
      <w:r w:rsidR="004D11CB">
        <w:rPr>
          <w:rFonts w:asciiTheme="minorHAnsi" w:hAnsiTheme="minorHAnsi"/>
          <w:color w:val="auto"/>
          <w:sz w:val="22"/>
          <w:szCs w:val="22"/>
        </w:rPr>
        <w:t>.</w:t>
      </w:r>
    </w:p>
    <w:p w14:paraId="7EA991E3" w14:textId="77777777" w:rsidR="00F57D0B" w:rsidRPr="00F57D0B" w:rsidRDefault="00F57D0B" w:rsidP="00F57D0B">
      <w:pPr>
        <w:pStyle w:val="Default"/>
        <w:jc w:val="both"/>
        <w:rPr>
          <w:rFonts w:asciiTheme="minorHAnsi" w:hAnsiTheme="minorHAnsi"/>
          <w:color w:val="auto"/>
          <w:sz w:val="22"/>
          <w:szCs w:val="22"/>
        </w:rPr>
      </w:pPr>
    </w:p>
    <w:p w14:paraId="4A4E9B6A" w14:textId="136578EC" w:rsidR="00F57D0B" w:rsidRPr="00F57D0B" w:rsidRDefault="00F57D0B" w:rsidP="00F57D0B">
      <w:pPr>
        <w:pStyle w:val="Default"/>
        <w:jc w:val="both"/>
        <w:rPr>
          <w:rFonts w:asciiTheme="minorHAnsi" w:hAnsiTheme="minorHAnsi"/>
          <w:color w:val="auto"/>
          <w:sz w:val="22"/>
          <w:szCs w:val="22"/>
        </w:rPr>
      </w:pPr>
      <w:r w:rsidRPr="00F57D0B">
        <w:rPr>
          <w:rFonts w:asciiTheme="minorHAnsi" w:hAnsiTheme="minorHAnsi"/>
          <w:color w:val="auto"/>
          <w:sz w:val="22"/>
          <w:szCs w:val="22"/>
        </w:rPr>
        <w:t xml:space="preserve">7.2 – Read Robust Details Ltd.  </w:t>
      </w:r>
      <w:r w:rsidR="000020DB">
        <w:rPr>
          <w:rFonts w:asciiTheme="minorHAnsi" w:hAnsiTheme="minorHAnsi"/>
          <w:color w:val="auto"/>
          <w:sz w:val="22"/>
          <w:szCs w:val="22"/>
        </w:rPr>
        <w:t xml:space="preserve">The industry uses them </w:t>
      </w:r>
      <w:r w:rsidRPr="00F57D0B">
        <w:rPr>
          <w:rFonts w:asciiTheme="minorHAnsi" w:hAnsiTheme="minorHAnsi"/>
          <w:color w:val="auto"/>
          <w:sz w:val="22"/>
          <w:szCs w:val="22"/>
        </w:rPr>
        <w:t>for Part E and L of the Building Regulations,</w:t>
      </w:r>
      <w:r w:rsidR="000020DB">
        <w:rPr>
          <w:rFonts w:asciiTheme="minorHAnsi" w:hAnsiTheme="minorHAnsi"/>
          <w:color w:val="auto"/>
          <w:sz w:val="22"/>
          <w:szCs w:val="22"/>
        </w:rPr>
        <w:t xml:space="preserve"> these could be considered for </w:t>
      </w:r>
      <w:r w:rsidRPr="00F57D0B">
        <w:rPr>
          <w:rFonts w:asciiTheme="minorHAnsi" w:hAnsiTheme="minorHAnsi"/>
          <w:color w:val="auto"/>
          <w:sz w:val="22"/>
          <w:szCs w:val="22"/>
        </w:rPr>
        <w:t xml:space="preserve">Part B?  </w:t>
      </w:r>
    </w:p>
    <w:p w14:paraId="44AD055A" w14:textId="77777777" w:rsidR="00F57D0B" w:rsidRPr="00F57D0B" w:rsidRDefault="00F57D0B" w:rsidP="00F57D0B">
      <w:pPr>
        <w:pStyle w:val="Default"/>
        <w:jc w:val="both"/>
        <w:rPr>
          <w:rFonts w:asciiTheme="minorHAnsi" w:hAnsiTheme="minorHAnsi"/>
          <w:color w:val="auto"/>
          <w:sz w:val="22"/>
          <w:szCs w:val="22"/>
        </w:rPr>
      </w:pPr>
    </w:p>
    <w:p w14:paraId="3CB3315A" w14:textId="77777777" w:rsidR="00F57D0B" w:rsidRPr="00F57D0B" w:rsidRDefault="00F57D0B" w:rsidP="00F57D0B">
      <w:pPr>
        <w:pStyle w:val="Default"/>
        <w:jc w:val="both"/>
        <w:rPr>
          <w:rFonts w:asciiTheme="minorHAnsi" w:hAnsiTheme="minorHAnsi"/>
          <w:color w:val="auto"/>
          <w:sz w:val="22"/>
          <w:szCs w:val="22"/>
        </w:rPr>
      </w:pPr>
      <w:r w:rsidRPr="00F57D0B">
        <w:rPr>
          <w:rFonts w:asciiTheme="minorHAnsi" w:hAnsiTheme="minorHAnsi"/>
          <w:color w:val="auto"/>
          <w:sz w:val="22"/>
          <w:szCs w:val="22"/>
        </w:rPr>
        <w:t>7.4 – Products outside Robust Details need to be certified for use, in fact the best way to do this is to involve manufacturers in the JCA safety case, or otherwise the project QDR process.  They can then confirm if they are happy for the product to be used as intended, or whether it needs testing in such a proposed arrangement.  Once tested, details can be added to the Robust Details library.</w:t>
      </w:r>
    </w:p>
    <w:p w14:paraId="41791380" w14:textId="77777777" w:rsidR="00F57D0B" w:rsidRPr="00F57D0B" w:rsidRDefault="00F57D0B" w:rsidP="00F57D0B">
      <w:pPr>
        <w:pStyle w:val="Default"/>
        <w:jc w:val="both"/>
        <w:rPr>
          <w:rFonts w:asciiTheme="minorHAnsi" w:hAnsiTheme="minorHAnsi"/>
          <w:color w:val="auto"/>
          <w:sz w:val="22"/>
          <w:szCs w:val="22"/>
        </w:rPr>
      </w:pPr>
    </w:p>
    <w:p w14:paraId="5CEDEC1E" w14:textId="36DCBB58" w:rsidR="00F57D0B" w:rsidRPr="00F57D0B" w:rsidRDefault="00F57D0B" w:rsidP="00F57D0B">
      <w:pPr>
        <w:pStyle w:val="Default"/>
        <w:jc w:val="both"/>
        <w:rPr>
          <w:rFonts w:asciiTheme="minorHAnsi" w:hAnsiTheme="minorHAnsi"/>
          <w:color w:val="auto"/>
          <w:sz w:val="22"/>
          <w:szCs w:val="22"/>
        </w:rPr>
      </w:pPr>
      <w:r w:rsidRPr="00F57D0B">
        <w:rPr>
          <w:rFonts w:asciiTheme="minorHAnsi" w:hAnsiTheme="minorHAnsi"/>
          <w:color w:val="auto"/>
          <w:sz w:val="22"/>
          <w:szCs w:val="22"/>
        </w:rPr>
        <w:t xml:space="preserve">7.10 –The </w:t>
      </w:r>
      <w:r w:rsidR="0087431B">
        <w:rPr>
          <w:rFonts w:asciiTheme="minorHAnsi" w:hAnsiTheme="minorHAnsi"/>
          <w:color w:val="auto"/>
          <w:sz w:val="22"/>
          <w:szCs w:val="22"/>
        </w:rPr>
        <w:t>Report</w:t>
      </w:r>
      <w:r w:rsidRPr="00F57D0B">
        <w:rPr>
          <w:rFonts w:asciiTheme="minorHAnsi" w:hAnsiTheme="minorHAnsi"/>
          <w:color w:val="auto"/>
          <w:sz w:val="22"/>
          <w:szCs w:val="22"/>
        </w:rPr>
        <w:t xml:space="preserve"> claims holistic improvement and focusses on cladding.  Why not be broader about other materials – or consider furnishings and fittings that create flashover conditions in tenant flats?</w:t>
      </w:r>
    </w:p>
    <w:p w14:paraId="2E8813D7" w14:textId="77777777" w:rsidR="00F57D0B" w:rsidRPr="00F57D0B" w:rsidRDefault="00F57D0B" w:rsidP="00F57D0B">
      <w:pPr>
        <w:pStyle w:val="Default"/>
        <w:jc w:val="both"/>
        <w:rPr>
          <w:rFonts w:asciiTheme="minorHAnsi" w:hAnsiTheme="minorHAnsi"/>
          <w:color w:val="auto"/>
          <w:sz w:val="22"/>
          <w:szCs w:val="22"/>
        </w:rPr>
      </w:pPr>
    </w:p>
    <w:p w14:paraId="356DE9E3" w14:textId="5DDC5FD0" w:rsidR="00F57D0B" w:rsidRPr="00F57D0B" w:rsidRDefault="00F57D0B" w:rsidP="00F57D0B">
      <w:pPr>
        <w:pStyle w:val="Default"/>
        <w:jc w:val="both"/>
        <w:rPr>
          <w:rFonts w:asciiTheme="minorHAnsi" w:hAnsiTheme="minorHAnsi"/>
          <w:color w:val="auto"/>
          <w:sz w:val="22"/>
          <w:szCs w:val="22"/>
        </w:rPr>
      </w:pPr>
      <w:r w:rsidRPr="00F57D0B">
        <w:rPr>
          <w:rFonts w:asciiTheme="minorHAnsi" w:hAnsiTheme="minorHAnsi"/>
          <w:color w:val="auto"/>
          <w:sz w:val="22"/>
          <w:szCs w:val="22"/>
        </w:rPr>
        <w:t xml:space="preserve">7.12 – CIAT fully supports this: testing methodologies need to be produced (paragraph 7.21 seems to suggest this is </w:t>
      </w:r>
      <w:proofErr w:type="gramStart"/>
      <w:r w:rsidRPr="00F57D0B">
        <w:rPr>
          <w:rFonts w:asciiTheme="minorHAnsi" w:hAnsiTheme="minorHAnsi"/>
          <w:color w:val="auto"/>
          <w:sz w:val="22"/>
          <w:szCs w:val="22"/>
        </w:rPr>
        <w:t>needed, but</w:t>
      </w:r>
      <w:proofErr w:type="gramEnd"/>
      <w:r w:rsidRPr="00F57D0B">
        <w:rPr>
          <w:rFonts w:asciiTheme="minorHAnsi" w:hAnsiTheme="minorHAnsi"/>
          <w:color w:val="auto"/>
          <w:sz w:val="22"/>
          <w:szCs w:val="22"/>
        </w:rPr>
        <w:t xml:space="preserve"> is</w:t>
      </w:r>
      <w:r w:rsidR="001C7EED">
        <w:rPr>
          <w:rFonts w:asciiTheme="minorHAnsi" w:hAnsiTheme="minorHAnsi"/>
          <w:color w:val="auto"/>
          <w:sz w:val="22"/>
          <w:szCs w:val="22"/>
        </w:rPr>
        <w:t xml:space="preserve"> </w:t>
      </w:r>
      <w:r w:rsidRPr="00F57D0B">
        <w:rPr>
          <w:rFonts w:asciiTheme="minorHAnsi" w:hAnsiTheme="minorHAnsi"/>
          <w:color w:val="auto"/>
          <w:sz w:val="22"/>
          <w:szCs w:val="22"/>
        </w:rPr>
        <w:t>n</w:t>
      </w:r>
      <w:r w:rsidR="001C7EED">
        <w:rPr>
          <w:rFonts w:asciiTheme="minorHAnsi" w:hAnsiTheme="minorHAnsi"/>
          <w:color w:val="auto"/>
          <w:sz w:val="22"/>
          <w:szCs w:val="22"/>
        </w:rPr>
        <w:t>o</w:t>
      </w:r>
      <w:r w:rsidRPr="00F57D0B">
        <w:rPr>
          <w:rFonts w:asciiTheme="minorHAnsi" w:hAnsiTheme="minorHAnsi"/>
          <w:color w:val="auto"/>
          <w:sz w:val="22"/>
          <w:szCs w:val="22"/>
        </w:rPr>
        <w:t xml:space="preserve">t clear enough when it refers to a new ‘approach’).  </w:t>
      </w:r>
      <w:r w:rsidR="00E762DE">
        <w:rPr>
          <w:rFonts w:asciiTheme="minorHAnsi" w:hAnsiTheme="minorHAnsi"/>
          <w:color w:val="auto"/>
          <w:sz w:val="22"/>
          <w:szCs w:val="22"/>
        </w:rPr>
        <w:t>U</w:t>
      </w:r>
      <w:r w:rsidRPr="00F57D0B">
        <w:rPr>
          <w:rFonts w:asciiTheme="minorHAnsi" w:hAnsiTheme="minorHAnsi"/>
          <w:color w:val="auto"/>
          <w:sz w:val="22"/>
          <w:szCs w:val="22"/>
        </w:rPr>
        <w:t>se of consistent language in paragraph 7.14.</w:t>
      </w:r>
    </w:p>
    <w:p w14:paraId="54B26794" w14:textId="77777777" w:rsidR="00F57D0B" w:rsidRPr="00F57D0B" w:rsidRDefault="00F57D0B" w:rsidP="00F57D0B">
      <w:pPr>
        <w:pStyle w:val="Default"/>
        <w:jc w:val="both"/>
        <w:rPr>
          <w:rFonts w:asciiTheme="minorHAnsi" w:hAnsiTheme="minorHAnsi"/>
          <w:color w:val="auto"/>
          <w:sz w:val="22"/>
          <w:szCs w:val="22"/>
        </w:rPr>
      </w:pPr>
    </w:p>
    <w:p w14:paraId="5B3C88DB" w14:textId="77777777" w:rsidR="00F57D0B" w:rsidRPr="00F57D0B" w:rsidRDefault="00F57D0B" w:rsidP="00F57D0B">
      <w:pPr>
        <w:jc w:val="both"/>
        <w:rPr>
          <w:rFonts w:asciiTheme="minorHAnsi" w:hAnsiTheme="minorHAnsi"/>
        </w:rPr>
      </w:pPr>
      <w:r w:rsidRPr="00F57D0B">
        <w:rPr>
          <w:rFonts w:asciiTheme="minorHAnsi" w:hAnsiTheme="minorHAnsi"/>
        </w:rPr>
        <w:t>What is needed is certainty among competent professionals.  Even testing professionals make judgements on material performance when a variety of tests are performed.  For example, take a fabric which is European Class D to BS EN 13501-1 which also satisfies BS-5852 ignition source 5 on a crib test set-up.  What equivalency should exist between BS-476, BS EN 13501-1, BS ISO 1182, BS ISO 1716, etc?  This needs financing as research to bring clarity.  Further, when such materials are assembled into certain configurations for construction details, verification should be undertaken to provide confidence in Robust Details.</w:t>
      </w:r>
    </w:p>
    <w:p w14:paraId="3C5B2F92" w14:textId="77777777" w:rsidR="00F57D0B" w:rsidRPr="00F57D0B" w:rsidRDefault="00F57D0B" w:rsidP="00F57D0B">
      <w:pPr>
        <w:jc w:val="both"/>
        <w:rPr>
          <w:rFonts w:asciiTheme="minorHAnsi" w:hAnsiTheme="minorHAnsi"/>
        </w:rPr>
      </w:pPr>
    </w:p>
    <w:p w14:paraId="113CD11A" w14:textId="77777777" w:rsidR="00F57D0B" w:rsidRPr="00F57D0B" w:rsidRDefault="00F57D0B" w:rsidP="00F57D0B">
      <w:pPr>
        <w:jc w:val="both"/>
        <w:rPr>
          <w:rFonts w:asciiTheme="minorHAnsi" w:hAnsiTheme="minorHAnsi"/>
        </w:rPr>
      </w:pPr>
      <w:r w:rsidRPr="00F57D0B">
        <w:rPr>
          <w:rFonts w:asciiTheme="minorHAnsi" w:hAnsiTheme="minorHAnsi"/>
        </w:rPr>
        <w:t>Extrapolation is a key problem for materials used in vast quantities.  Roofs and cladding need express consideration with firestopping details and peer review through a fire safety assurance process.</w:t>
      </w:r>
    </w:p>
    <w:p w14:paraId="652E9CD9" w14:textId="77777777" w:rsidR="00F57D0B" w:rsidRPr="00F57D0B" w:rsidRDefault="00F57D0B" w:rsidP="00F57D0B">
      <w:pPr>
        <w:jc w:val="both"/>
        <w:rPr>
          <w:rFonts w:asciiTheme="minorHAnsi" w:hAnsiTheme="minorHAnsi"/>
        </w:rPr>
      </w:pPr>
    </w:p>
    <w:p w14:paraId="484418D5" w14:textId="77777777" w:rsidR="00F57D0B" w:rsidRPr="00F57D0B" w:rsidRDefault="00F57D0B" w:rsidP="00F57D0B">
      <w:pPr>
        <w:jc w:val="both"/>
        <w:rPr>
          <w:rFonts w:asciiTheme="minorHAnsi" w:hAnsiTheme="minorHAnsi"/>
        </w:rPr>
      </w:pPr>
      <w:r w:rsidRPr="00F57D0B">
        <w:rPr>
          <w:rFonts w:asciiTheme="minorHAnsi" w:hAnsiTheme="minorHAnsi"/>
        </w:rPr>
        <w:t>Product substitution and value engineering must be routed through a QDR fire safety assurance process, with suitable (multiple) peer review.  It should be obvious that departure from an ADB Robust Detail should result in testing if doubt is expressed in a QDR process over extrapolation claims.  Process, process, process.</w:t>
      </w:r>
    </w:p>
    <w:p w14:paraId="777981B6" w14:textId="77777777" w:rsidR="00F57D0B" w:rsidRPr="00F57D0B" w:rsidRDefault="00F57D0B" w:rsidP="00F57D0B">
      <w:pPr>
        <w:pStyle w:val="Default"/>
        <w:jc w:val="both"/>
        <w:rPr>
          <w:rFonts w:asciiTheme="minorHAnsi" w:hAnsiTheme="minorHAnsi"/>
          <w:color w:val="auto"/>
          <w:sz w:val="22"/>
          <w:szCs w:val="22"/>
        </w:rPr>
      </w:pPr>
    </w:p>
    <w:p w14:paraId="064EBCEC" w14:textId="77777777" w:rsidR="004D11CB" w:rsidRDefault="004D11CB" w:rsidP="00F57D0B">
      <w:pPr>
        <w:pStyle w:val="Default"/>
        <w:jc w:val="both"/>
        <w:rPr>
          <w:rFonts w:asciiTheme="minorHAnsi" w:hAnsiTheme="minorHAnsi"/>
          <w:color w:val="auto"/>
          <w:sz w:val="22"/>
          <w:szCs w:val="22"/>
        </w:rPr>
      </w:pPr>
    </w:p>
    <w:p w14:paraId="0B721742" w14:textId="1BEA4B12" w:rsidR="00F57D0B" w:rsidRPr="00F57D0B" w:rsidRDefault="00F57D0B" w:rsidP="00F57D0B">
      <w:pPr>
        <w:pStyle w:val="Default"/>
        <w:jc w:val="both"/>
        <w:rPr>
          <w:rFonts w:asciiTheme="minorHAnsi" w:hAnsiTheme="minorHAnsi"/>
          <w:color w:val="auto"/>
          <w:sz w:val="22"/>
          <w:szCs w:val="22"/>
        </w:rPr>
      </w:pPr>
      <w:r w:rsidRPr="00F57D0B">
        <w:rPr>
          <w:rFonts w:asciiTheme="minorHAnsi" w:hAnsiTheme="minorHAnsi"/>
          <w:color w:val="auto"/>
          <w:sz w:val="22"/>
          <w:szCs w:val="22"/>
        </w:rPr>
        <w:t xml:space="preserve">7.13 – Field of Application </w:t>
      </w:r>
      <w:r w:rsidR="0087431B">
        <w:rPr>
          <w:rFonts w:asciiTheme="minorHAnsi" w:hAnsiTheme="minorHAnsi"/>
          <w:color w:val="auto"/>
          <w:sz w:val="22"/>
          <w:szCs w:val="22"/>
        </w:rPr>
        <w:t>Report</w:t>
      </w:r>
      <w:r w:rsidRPr="00F57D0B">
        <w:rPr>
          <w:rFonts w:asciiTheme="minorHAnsi" w:hAnsiTheme="minorHAnsi"/>
          <w:color w:val="auto"/>
          <w:sz w:val="22"/>
          <w:szCs w:val="22"/>
        </w:rPr>
        <w:t xml:space="preserve">s are well used in the industry and should be readily available to all designers.  A fire </w:t>
      </w:r>
      <w:proofErr w:type="spellStart"/>
      <w:r w:rsidRPr="00F57D0B">
        <w:rPr>
          <w:rFonts w:asciiTheme="minorHAnsi" w:hAnsiTheme="minorHAnsi"/>
          <w:color w:val="auto"/>
          <w:sz w:val="22"/>
          <w:szCs w:val="22"/>
        </w:rPr>
        <w:t>doorset</w:t>
      </w:r>
      <w:proofErr w:type="spellEnd"/>
      <w:r w:rsidRPr="00F57D0B">
        <w:rPr>
          <w:rFonts w:asciiTheme="minorHAnsi" w:hAnsiTheme="minorHAnsi"/>
          <w:color w:val="auto"/>
          <w:sz w:val="22"/>
          <w:szCs w:val="22"/>
        </w:rPr>
        <w:t xml:space="preserve"> achieving 57 minutes only gets certified as 30 minutes, but if an ASET/RSET calculation shows escape is completed in 45 minutes, then the </w:t>
      </w:r>
      <w:proofErr w:type="spellStart"/>
      <w:r w:rsidRPr="00F57D0B">
        <w:rPr>
          <w:rFonts w:asciiTheme="minorHAnsi" w:hAnsiTheme="minorHAnsi"/>
          <w:color w:val="auto"/>
          <w:sz w:val="22"/>
          <w:szCs w:val="22"/>
        </w:rPr>
        <w:t>FoA</w:t>
      </w:r>
      <w:proofErr w:type="spellEnd"/>
      <w:r w:rsidRPr="00F57D0B">
        <w:rPr>
          <w:rFonts w:asciiTheme="minorHAnsi" w:hAnsiTheme="minorHAnsi"/>
          <w:color w:val="auto"/>
          <w:sz w:val="22"/>
          <w:szCs w:val="22"/>
        </w:rPr>
        <w:t xml:space="preserve"> is very useful.  Periodic retesting for all complex buildings (not just HRRBs) is also a good outcome from this </w:t>
      </w:r>
      <w:r w:rsidR="0087431B">
        <w:rPr>
          <w:rFonts w:asciiTheme="minorHAnsi" w:hAnsiTheme="minorHAnsi"/>
          <w:color w:val="auto"/>
          <w:sz w:val="22"/>
          <w:szCs w:val="22"/>
        </w:rPr>
        <w:t>Report</w:t>
      </w:r>
      <w:r w:rsidRPr="00F57D0B">
        <w:rPr>
          <w:rFonts w:asciiTheme="minorHAnsi" w:hAnsiTheme="minorHAnsi"/>
          <w:color w:val="auto"/>
          <w:sz w:val="22"/>
          <w:szCs w:val="22"/>
        </w:rPr>
        <w:t xml:space="preserve"> (paragraph 7.15).</w:t>
      </w:r>
    </w:p>
    <w:p w14:paraId="32F3076F" w14:textId="77777777" w:rsidR="00F57D0B" w:rsidRPr="00F57D0B" w:rsidRDefault="00F57D0B" w:rsidP="00F57D0B">
      <w:pPr>
        <w:pStyle w:val="Default"/>
        <w:jc w:val="both"/>
        <w:rPr>
          <w:rFonts w:asciiTheme="minorHAnsi" w:hAnsiTheme="minorHAnsi"/>
          <w:color w:val="auto"/>
          <w:sz w:val="22"/>
          <w:szCs w:val="22"/>
        </w:rPr>
      </w:pPr>
    </w:p>
    <w:p w14:paraId="3070F99A" w14:textId="5D47835B" w:rsidR="00F57D0B" w:rsidRPr="00F57D0B" w:rsidRDefault="00F57D0B" w:rsidP="00F57D0B">
      <w:pPr>
        <w:pStyle w:val="Default"/>
        <w:jc w:val="both"/>
        <w:rPr>
          <w:rFonts w:asciiTheme="minorHAnsi" w:hAnsiTheme="minorHAnsi"/>
          <w:color w:val="auto"/>
          <w:sz w:val="22"/>
          <w:szCs w:val="22"/>
        </w:rPr>
      </w:pPr>
      <w:r w:rsidRPr="00F57D0B">
        <w:rPr>
          <w:rFonts w:asciiTheme="minorHAnsi" w:hAnsiTheme="minorHAnsi"/>
          <w:color w:val="auto"/>
          <w:sz w:val="22"/>
          <w:szCs w:val="22"/>
        </w:rPr>
        <w:t>7.16 – The QDR process can root out poor product substitution, whether the JCA is involved or not.  This again highlights the inadequacy of the JCA involved for buildings over 10 stor</w:t>
      </w:r>
      <w:r w:rsidR="004C6521">
        <w:rPr>
          <w:rFonts w:asciiTheme="minorHAnsi" w:hAnsiTheme="minorHAnsi"/>
          <w:color w:val="auto"/>
          <w:sz w:val="22"/>
          <w:szCs w:val="22"/>
        </w:rPr>
        <w:t>ey</w:t>
      </w:r>
      <w:r w:rsidRPr="00F57D0B">
        <w:rPr>
          <w:rFonts w:asciiTheme="minorHAnsi" w:hAnsiTheme="minorHAnsi"/>
          <w:color w:val="auto"/>
          <w:sz w:val="22"/>
          <w:szCs w:val="22"/>
        </w:rPr>
        <w:t xml:space="preserve">s as a single criterion to trigger JCA input.  Complexity is measurable by population (size/profile/needs), building size (length, height, width) and building spatial complexity or process complexity.  </w:t>
      </w:r>
    </w:p>
    <w:p w14:paraId="79245F56" w14:textId="77777777" w:rsidR="00F57D0B" w:rsidRPr="00F57D0B" w:rsidRDefault="00F57D0B" w:rsidP="00F57D0B">
      <w:pPr>
        <w:pStyle w:val="Default"/>
        <w:jc w:val="both"/>
        <w:rPr>
          <w:rFonts w:asciiTheme="minorHAnsi" w:hAnsiTheme="minorHAnsi"/>
          <w:color w:val="auto"/>
          <w:sz w:val="22"/>
          <w:szCs w:val="22"/>
        </w:rPr>
      </w:pPr>
    </w:p>
    <w:p w14:paraId="036A50A5" w14:textId="77777777" w:rsidR="00F57D0B" w:rsidRPr="00F57D0B" w:rsidRDefault="00F57D0B" w:rsidP="00F57D0B">
      <w:pPr>
        <w:pStyle w:val="Default"/>
        <w:jc w:val="both"/>
        <w:rPr>
          <w:rFonts w:asciiTheme="minorHAnsi" w:hAnsiTheme="minorHAnsi"/>
          <w:color w:val="auto"/>
          <w:sz w:val="22"/>
          <w:szCs w:val="22"/>
        </w:rPr>
      </w:pPr>
      <w:r w:rsidRPr="00F57D0B">
        <w:rPr>
          <w:rFonts w:asciiTheme="minorHAnsi" w:hAnsiTheme="minorHAnsi"/>
          <w:color w:val="auto"/>
          <w:sz w:val="22"/>
          <w:szCs w:val="22"/>
        </w:rPr>
        <w:t>7.24 – Traceability improvements are fully supported.</w:t>
      </w:r>
    </w:p>
    <w:p w14:paraId="20A47AB9" w14:textId="77777777" w:rsidR="00F57D0B" w:rsidRPr="00F57D0B" w:rsidRDefault="00F57D0B" w:rsidP="00F57D0B">
      <w:pPr>
        <w:pStyle w:val="Default"/>
        <w:jc w:val="both"/>
        <w:rPr>
          <w:rFonts w:asciiTheme="minorHAnsi" w:hAnsiTheme="minorHAnsi"/>
          <w:color w:val="auto"/>
          <w:sz w:val="22"/>
          <w:szCs w:val="22"/>
        </w:rPr>
      </w:pPr>
    </w:p>
    <w:p w14:paraId="6104C832" w14:textId="1B8713E6" w:rsidR="00F57D0B" w:rsidRPr="00F57D0B" w:rsidRDefault="00F57D0B" w:rsidP="00F57D0B">
      <w:pPr>
        <w:pStyle w:val="Default"/>
        <w:jc w:val="both"/>
        <w:rPr>
          <w:rFonts w:asciiTheme="minorHAnsi" w:hAnsiTheme="minorHAnsi"/>
          <w:color w:val="auto"/>
          <w:sz w:val="22"/>
          <w:szCs w:val="22"/>
        </w:rPr>
      </w:pPr>
      <w:r w:rsidRPr="00F57D0B">
        <w:rPr>
          <w:rFonts w:asciiTheme="minorHAnsi" w:hAnsiTheme="minorHAnsi"/>
          <w:color w:val="auto"/>
          <w:sz w:val="22"/>
          <w:szCs w:val="22"/>
        </w:rPr>
        <w:t>7.31 – A national product enforcement body, armed with proportion</w:t>
      </w:r>
      <w:r w:rsidR="004C6521">
        <w:rPr>
          <w:rFonts w:asciiTheme="minorHAnsi" w:hAnsiTheme="minorHAnsi"/>
          <w:color w:val="auto"/>
          <w:sz w:val="22"/>
          <w:szCs w:val="22"/>
        </w:rPr>
        <w:t>ate</w:t>
      </w:r>
      <w:r w:rsidRPr="00F57D0B">
        <w:rPr>
          <w:rFonts w:asciiTheme="minorHAnsi" w:hAnsiTheme="minorHAnsi"/>
          <w:color w:val="auto"/>
          <w:sz w:val="22"/>
          <w:szCs w:val="22"/>
        </w:rPr>
        <w:t xml:space="preserve"> sanctions is supportable.</w:t>
      </w:r>
    </w:p>
    <w:p w14:paraId="0F8120D3" w14:textId="77777777" w:rsidR="00F57D0B" w:rsidRPr="00F57D0B" w:rsidRDefault="00F57D0B" w:rsidP="00F57D0B">
      <w:pPr>
        <w:pStyle w:val="Default"/>
        <w:jc w:val="both"/>
        <w:rPr>
          <w:rFonts w:asciiTheme="minorHAnsi" w:hAnsiTheme="minorHAnsi"/>
          <w:color w:val="auto"/>
          <w:sz w:val="22"/>
          <w:szCs w:val="22"/>
        </w:rPr>
      </w:pPr>
    </w:p>
    <w:p w14:paraId="67D4FF63" w14:textId="77777777" w:rsidR="00F57D0B" w:rsidRPr="001C7EED" w:rsidRDefault="001C7EED" w:rsidP="00F57D0B">
      <w:pPr>
        <w:pStyle w:val="Default"/>
        <w:jc w:val="both"/>
        <w:rPr>
          <w:rFonts w:asciiTheme="minorHAnsi" w:hAnsiTheme="minorHAnsi"/>
          <w:b/>
          <w:bCs/>
          <w:color w:val="auto"/>
          <w:sz w:val="28"/>
          <w:szCs w:val="28"/>
        </w:rPr>
      </w:pPr>
      <w:r w:rsidRPr="001C7EED">
        <w:rPr>
          <w:rFonts w:asciiTheme="minorHAnsi" w:hAnsiTheme="minorHAnsi"/>
          <w:b/>
          <w:bCs/>
          <w:color w:val="auto"/>
          <w:sz w:val="28"/>
          <w:szCs w:val="28"/>
        </w:rPr>
        <w:t>Chapter Eight</w:t>
      </w:r>
    </w:p>
    <w:p w14:paraId="715676C4" w14:textId="032DFA77" w:rsidR="00F57D0B" w:rsidRPr="00F57D0B" w:rsidRDefault="00F57D0B" w:rsidP="00F57D0B">
      <w:pPr>
        <w:pStyle w:val="Default"/>
        <w:jc w:val="both"/>
        <w:rPr>
          <w:rFonts w:asciiTheme="minorHAnsi" w:hAnsiTheme="minorHAnsi"/>
          <w:color w:val="auto"/>
          <w:sz w:val="22"/>
          <w:szCs w:val="22"/>
        </w:rPr>
      </w:pPr>
      <w:r w:rsidRPr="00F57D0B">
        <w:rPr>
          <w:rFonts w:asciiTheme="minorHAnsi" w:hAnsiTheme="minorHAnsi"/>
          <w:color w:val="auto"/>
          <w:sz w:val="22"/>
          <w:szCs w:val="22"/>
        </w:rPr>
        <w:t>8.10 – CIAT support</w:t>
      </w:r>
      <w:r w:rsidR="004C6521">
        <w:rPr>
          <w:rFonts w:asciiTheme="minorHAnsi" w:hAnsiTheme="minorHAnsi"/>
          <w:color w:val="auto"/>
          <w:sz w:val="22"/>
          <w:szCs w:val="22"/>
        </w:rPr>
        <w:t>s</w:t>
      </w:r>
      <w:r w:rsidRPr="00F57D0B">
        <w:rPr>
          <w:rFonts w:asciiTheme="minorHAnsi" w:hAnsiTheme="minorHAnsi"/>
          <w:color w:val="auto"/>
          <w:sz w:val="22"/>
          <w:szCs w:val="22"/>
        </w:rPr>
        <w:t xml:space="preserve"> the ‘golden thread’, but it must be asked why CDM does not already address this.  What is deficient in CDM to require this emphasis for HRRBs only.  What happens, for example, in 9 storey hospitals with patient populations of 7,500?  Is the focus on HRRBs at 10-storeys or over implicitly recognising an industry capacity problem?  It is contended and thus the </w:t>
      </w:r>
      <w:r w:rsidR="0087431B">
        <w:rPr>
          <w:rFonts w:asciiTheme="minorHAnsi" w:hAnsiTheme="minorHAnsi"/>
          <w:color w:val="auto"/>
          <w:sz w:val="22"/>
          <w:szCs w:val="22"/>
        </w:rPr>
        <w:t>Report</w:t>
      </w:r>
      <w:r w:rsidRPr="00F57D0B">
        <w:rPr>
          <w:rFonts w:asciiTheme="minorHAnsi" w:hAnsiTheme="minorHAnsi"/>
          <w:color w:val="auto"/>
          <w:sz w:val="22"/>
          <w:szCs w:val="22"/>
        </w:rPr>
        <w:t xml:space="preserve"> is a missed opportunity to improve industry fire safety. </w:t>
      </w:r>
    </w:p>
    <w:p w14:paraId="1D173C6F" w14:textId="77777777" w:rsidR="00F57D0B" w:rsidRPr="00F57D0B" w:rsidRDefault="00F57D0B" w:rsidP="00F57D0B">
      <w:pPr>
        <w:pStyle w:val="Default"/>
        <w:jc w:val="both"/>
        <w:rPr>
          <w:rFonts w:asciiTheme="minorHAnsi" w:hAnsiTheme="minorHAnsi"/>
          <w:color w:val="auto"/>
          <w:sz w:val="22"/>
          <w:szCs w:val="22"/>
        </w:rPr>
      </w:pPr>
    </w:p>
    <w:p w14:paraId="1F763249" w14:textId="77777777" w:rsidR="00F57D0B" w:rsidRPr="00F57D0B" w:rsidRDefault="00F57D0B" w:rsidP="00F57D0B">
      <w:pPr>
        <w:pStyle w:val="Default"/>
        <w:jc w:val="both"/>
        <w:rPr>
          <w:rFonts w:asciiTheme="minorHAnsi" w:hAnsiTheme="minorHAnsi"/>
          <w:color w:val="auto"/>
          <w:sz w:val="22"/>
          <w:szCs w:val="22"/>
        </w:rPr>
      </w:pPr>
      <w:r w:rsidRPr="00F57D0B">
        <w:rPr>
          <w:rFonts w:asciiTheme="minorHAnsi" w:hAnsiTheme="minorHAnsi"/>
          <w:color w:val="auto"/>
          <w:sz w:val="22"/>
          <w:szCs w:val="22"/>
        </w:rPr>
        <w:t xml:space="preserve">8.12 – BIM has been in the industry for a long time – it is applied for the rail industry and is growing into other key (CPNI) industries too.  What is needed to expand on HRRBs, is a CPNI list of </w:t>
      </w:r>
      <w:proofErr w:type="gramStart"/>
      <w:r w:rsidRPr="00F57D0B">
        <w:rPr>
          <w:rFonts w:asciiTheme="minorHAnsi" w:hAnsiTheme="minorHAnsi"/>
          <w:color w:val="auto"/>
          <w:sz w:val="22"/>
          <w:szCs w:val="22"/>
        </w:rPr>
        <w:t>BS’s</w:t>
      </w:r>
      <w:proofErr w:type="gramEnd"/>
      <w:r w:rsidRPr="00F57D0B">
        <w:rPr>
          <w:rFonts w:asciiTheme="minorHAnsi" w:hAnsiTheme="minorHAnsi"/>
          <w:color w:val="auto"/>
          <w:sz w:val="22"/>
          <w:szCs w:val="22"/>
        </w:rPr>
        <w:t xml:space="preserve"> to integrate BIM into complex buildings, suggested as:</w:t>
      </w:r>
    </w:p>
    <w:p w14:paraId="1473EAB2" w14:textId="77777777" w:rsidR="00F57D0B" w:rsidRPr="00F57D0B" w:rsidRDefault="00F57D0B" w:rsidP="00F57D0B">
      <w:pPr>
        <w:pStyle w:val="Default"/>
        <w:jc w:val="both"/>
        <w:rPr>
          <w:rFonts w:asciiTheme="minorHAnsi" w:hAnsiTheme="minorHAnsi"/>
          <w:color w:val="auto"/>
          <w:sz w:val="22"/>
          <w:szCs w:val="22"/>
        </w:rPr>
      </w:pPr>
    </w:p>
    <w:p w14:paraId="3DFF6FC7" w14:textId="77777777" w:rsidR="00F57D0B" w:rsidRPr="00F57D0B" w:rsidRDefault="00F57D0B" w:rsidP="00F57D0B">
      <w:pPr>
        <w:pStyle w:val="Default"/>
        <w:jc w:val="both"/>
        <w:rPr>
          <w:rFonts w:asciiTheme="minorHAnsi" w:hAnsiTheme="minorHAnsi"/>
          <w:color w:val="auto"/>
          <w:sz w:val="22"/>
          <w:szCs w:val="22"/>
        </w:rPr>
      </w:pPr>
      <w:r w:rsidRPr="00F57D0B">
        <w:rPr>
          <w:rFonts w:asciiTheme="minorHAnsi" w:hAnsiTheme="minorHAnsi"/>
          <w:color w:val="auto"/>
          <w:sz w:val="22"/>
          <w:szCs w:val="22"/>
        </w:rPr>
        <w:t>BS-9992 – rail (due to draft comment August 2018)</w:t>
      </w:r>
    </w:p>
    <w:p w14:paraId="0B6FF937" w14:textId="77777777" w:rsidR="00F57D0B" w:rsidRPr="00F57D0B" w:rsidRDefault="00F57D0B" w:rsidP="00F57D0B">
      <w:pPr>
        <w:pStyle w:val="Default"/>
        <w:jc w:val="both"/>
        <w:rPr>
          <w:rFonts w:asciiTheme="minorHAnsi" w:hAnsiTheme="minorHAnsi"/>
          <w:color w:val="auto"/>
          <w:sz w:val="22"/>
          <w:szCs w:val="22"/>
        </w:rPr>
      </w:pPr>
      <w:r w:rsidRPr="00F57D0B">
        <w:rPr>
          <w:rFonts w:asciiTheme="minorHAnsi" w:hAnsiTheme="minorHAnsi"/>
          <w:color w:val="auto"/>
          <w:sz w:val="22"/>
          <w:szCs w:val="22"/>
        </w:rPr>
        <w:t>BS-9993 – airports and associated infrastructure</w:t>
      </w:r>
    </w:p>
    <w:p w14:paraId="61B8773D" w14:textId="77777777" w:rsidR="00F57D0B" w:rsidRPr="00F57D0B" w:rsidRDefault="00F57D0B" w:rsidP="00F57D0B">
      <w:pPr>
        <w:pStyle w:val="Default"/>
        <w:jc w:val="both"/>
        <w:rPr>
          <w:rFonts w:asciiTheme="minorHAnsi" w:hAnsiTheme="minorHAnsi"/>
          <w:color w:val="auto"/>
          <w:sz w:val="22"/>
          <w:szCs w:val="22"/>
        </w:rPr>
      </w:pPr>
      <w:r w:rsidRPr="00F57D0B">
        <w:rPr>
          <w:rFonts w:asciiTheme="minorHAnsi" w:hAnsiTheme="minorHAnsi"/>
          <w:color w:val="auto"/>
          <w:sz w:val="22"/>
          <w:szCs w:val="22"/>
        </w:rPr>
        <w:t>BS-9994 – power stations</w:t>
      </w:r>
    </w:p>
    <w:p w14:paraId="7CC34B34" w14:textId="77777777" w:rsidR="00F57D0B" w:rsidRPr="00F57D0B" w:rsidRDefault="00F57D0B" w:rsidP="00F57D0B">
      <w:pPr>
        <w:pStyle w:val="Default"/>
        <w:jc w:val="both"/>
        <w:rPr>
          <w:rFonts w:asciiTheme="minorHAnsi" w:hAnsiTheme="minorHAnsi"/>
          <w:color w:val="auto"/>
          <w:sz w:val="22"/>
          <w:szCs w:val="22"/>
        </w:rPr>
      </w:pPr>
      <w:r w:rsidRPr="00F57D0B">
        <w:rPr>
          <w:rFonts w:asciiTheme="minorHAnsi" w:hAnsiTheme="minorHAnsi"/>
          <w:color w:val="auto"/>
          <w:sz w:val="22"/>
          <w:szCs w:val="22"/>
        </w:rPr>
        <w:t>BS-9995 – hospitals</w:t>
      </w:r>
    </w:p>
    <w:p w14:paraId="6B29073E" w14:textId="77777777" w:rsidR="00F57D0B" w:rsidRPr="00F57D0B" w:rsidRDefault="00F57D0B" w:rsidP="00F57D0B">
      <w:pPr>
        <w:pStyle w:val="Default"/>
        <w:jc w:val="both"/>
        <w:rPr>
          <w:rFonts w:asciiTheme="minorHAnsi" w:hAnsiTheme="minorHAnsi"/>
          <w:color w:val="auto"/>
          <w:sz w:val="22"/>
          <w:szCs w:val="22"/>
        </w:rPr>
      </w:pPr>
      <w:r w:rsidRPr="00F57D0B">
        <w:rPr>
          <w:rFonts w:asciiTheme="minorHAnsi" w:hAnsiTheme="minorHAnsi"/>
          <w:color w:val="auto"/>
          <w:sz w:val="22"/>
          <w:szCs w:val="22"/>
        </w:rPr>
        <w:t>BS-9996 – chemical &amp; process</w:t>
      </w:r>
    </w:p>
    <w:p w14:paraId="2007D162" w14:textId="77777777" w:rsidR="00F57D0B" w:rsidRPr="00F57D0B" w:rsidRDefault="00F57D0B" w:rsidP="00F57D0B">
      <w:pPr>
        <w:pStyle w:val="Default"/>
        <w:jc w:val="both"/>
        <w:rPr>
          <w:rFonts w:asciiTheme="minorHAnsi" w:hAnsiTheme="minorHAnsi"/>
          <w:color w:val="auto"/>
          <w:sz w:val="22"/>
          <w:szCs w:val="22"/>
        </w:rPr>
      </w:pPr>
    </w:p>
    <w:p w14:paraId="66F859D1" w14:textId="15EE4F18" w:rsidR="00F57D0B" w:rsidRPr="00F57D0B" w:rsidRDefault="00F57D0B" w:rsidP="00F57D0B">
      <w:pPr>
        <w:pStyle w:val="Default"/>
        <w:jc w:val="both"/>
        <w:rPr>
          <w:rFonts w:asciiTheme="minorHAnsi" w:hAnsiTheme="minorHAnsi"/>
          <w:color w:val="auto"/>
          <w:sz w:val="22"/>
          <w:szCs w:val="22"/>
        </w:rPr>
      </w:pPr>
      <w:r w:rsidRPr="00F57D0B">
        <w:rPr>
          <w:rFonts w:asciiTheme="minorHAnsi" w:hAnsiTheme="minorHAnsi"/>
          <w:color w:val="auto"/>
          <w:sz w:val="22"/>
          <w:szCs w:val="22"/>
        </w:rPr>
        <w:t>BS-9997 could be used for HRRBs, although it would be better if the single criterion definition of number of stor</w:t>
      </w:r>
      <w:r w:rsidR="004C6521">
        <w:rPr>
          <w:rFonts w:asciiTheme="minorHAnsi" w:hAnsiTheme="minorHAnsi"/>
          <w:color w:val="auto"/>
          <w:sz w:val="22"/>
          <w:szCs w:val="22"/>
        </w:rPr>
        <w:t>ey</w:t>
      </w:r>
      <w:r w:rsidRPr="00F57D0B">
        <w:rPr>
          <w:rFonts w:asciiTheme="minorHAnsi" w:hAnsiTheme="minorHAnsi"/>
          <w:color w:val="auto"/>
          <w:sz w:val="22"/>
          <w:szCs w:val="22"/>
        </w:rPr>
        <w:t>s was abandoned.  All buildings covered in a new BS-999x should have JCA oversight, and BS-9991 be expanded to include high-rise residential.    </w:t>
      </w:r>
    </w:p>
    <w:p w14:paraId="609A9020" w14:textId="77777777" w:rsidR="00F57D0B" w:rsidRPr="00F57D0B" w:rsidRDefault="00F57D0B" w:rsidP="00F57D0B">
      <w:pPr>
        <w:pStyle w:val="Default"/>
        <w:jc w:val="both"/>
        <w:rPr>
          <w:rFonts w:asciiTheme="minorHAnsi" w:hAnsiTheme="minorHAnsi"/>
          <w:color w:val="auto"/>
          <w:sz w:val="22"/>
          <w:szCs w:val="22"/>
        </w:rPr>
      </w:pPr>
    </w:p>
    <w:p w14:paraId="2497F65D" w14:textId="77777777" w:rsidR="00F57D0B" w:rsidRPr="00F57D0B" w:rsidRDefault="00F57D0B" w:rsidP="00F57D0B">
      <w:pPr>
        <w:pStyle w:val="Default"/>
        <w:jc w:val="both"/>
        <w:rPr>
          <w:rFonts w:asciiTheme="minorHAnsi" w:hAnsiTheme="minorHAnsi"/>
          <w:color w:val="auto"/>
          <w:sz w:val="22"/>
          <w:szCs w:val="22"/>
        </w:rPr>
      </w:pPr>
      <w:r w:rsidRPr="00F57D0B">
        <w:rPr>
          <w:rFonts w:asciiTheme="minorHAnsi" w:hAnsiTheme="minorHAnsi"/>
          <w:color w:val="auto"/>
          <w:sz w:val="22"/>
          <w:szCs w:val="22"/>
        </w:rPr>
        <w:t>8.18 – BIM data is only robust if backed up by on-site assessments.  CDM is useful here since buildings need to be designed so that they can be inspected fully.</w:t>
      </w:r>
    </w:p>
    <w:p w14:paraId="74D32659" w14:textId="77777777" w:rsidR="00F57D0B" w:rsidRPr="00F57D0B" w:rsidRDefault="00F57D0B" w:rsidP="00F57D0B">
      <w:pPr>
        <w:pStyle w:val="Default"/>
        <w:jc w:val="both"/>
        <w:rPr>
          <w:rFonts w:asciiTheme="minorHAnsi" w:hAnsiTheme="minorHAnsi"/>
          <w:color w:val="auto"/>
          <w:sz w:val="22"/>
          <w:szCs w:val="22"/>
        </w:rPr>
      </w:pPr>
    </w:p>
    <w:p w14:paraId="637318FE" w14:textId="3E1F5214" w:rsidR="00F57D0B" w:rsidRPr="00F57D0B" w:rsidRDefault="00F57D0B" w:rsidP="00F57D0B">
      <w:pPr>
        <w:pStyle w:val="Default"/>
        <w:jc w:val="both"/>
        <w:rPr>
          <w:rFonts w:asciiTheme="minorHAnsi" w:hAnsiTheme="minorHAnsi"/>
          <w:color w:val="auto"/>
          <w:sz w:val="22"/>
          <w:szCs w:val="22"/>
        </w:rPr>
      </w:pPr>
      <w:r w:rsidRPr="00F57D0B">
        <w:rPr>
          <w:rFonts w:asciiTheme="minorHAnsi" w:hAnsiTheme="minorHAnsi"/>
          <w:color w:val="auto"/>
          <w:sz w:val="22"/>
          <w:szCs w:val="22"/>
        </w:rPr>
        <w:t xml:space="preserve">8.27 – How can ALARP be demonstrated without records?  Is the </w:t>
      </w:r>
      <w:r w:rsidR="0087431B">
        <w:rPr>
          <w:rFonts w:asciiTheme="minorHAnsi" w:hAnsiTheme="minorHAnsi"/>
          <w:color w:val="auto"/>
          <w:sz w:val="22"/>
          <w:szCs w:val="22"/>
        </w:rPr>
        <w:t>Report</w:t>
      </w:r>
      <w:r w:rsidRPr="00F57D0B">
        <w:rPr>
          <w:rFonts w:asciiTheme="minorHAnsi" w:hAnsiTheme="minorHAnsi"/>
          <w:color w:val="auto"/>
          <w:sz w:val="22"/>
          <w:szCs w:val="22"/>
        </w:rPr>
        <w:t xml:space="preserve"> saying </w:t>
      </w:r>
      <w:proofErr w:type="gramStart"/>
      <w:r w:rsidRPr="00F57D0B">
        <w:rPr>
          <w:rFonts w:asciiTheme="minorHAnsi" w:hAnsiTheme="minorHAnsi"/>
          <w:color w:val="auto"/>
          <w:sz w:val="22"/>
          <w:szCs w:val="22"/>
        </w:rPr>
        <w:t>open up</w:t>
      </w:r>
      <w:proofErr w:type="gramEnd"/>
      <w:r w:rsidRPr="00F57D0B">
        <w:rPr>
          <w:rFonts w:asciiTheme="minorHAnsi" w:hAnsiTheme="minorHAnsi"/>
          <w:color w:val="auto"/>
          <w:sz w:val="22"/>
          <w:szCs w:val="22"/>
        </w:rPr>
        <w:t xml:space="preserve"> the entire building?  If so, 9 storey buildings are fine without information (which should have been provided under CDM), but 10 storey buildings get intensive focus.  This paragraph puts building managers in an impossible position – it fails to grasp </w:t>
      </w:r>
      <w:r w:rsidR="004C6521">
        <w:rPr>
          <w:rFonts w:asciiTheme="minorHAnsi" w:hAnsiTheme="minorHAnsi"/>
          <w:color w:val="auto"/>
          <w:sz w:val="22"/>
          <w:szCs w:val="22"/>
        </w:rPr>
        <w:t>the purpose</w:t>
      </w:r>
      <w:r w:rsidRPr="00F57D0B">
        <w:rPr>
          <w:rFonts w:asciiTheme="minorHAnsi" w:hAnsiTheme="minorHAnsi"/>
          <w:color w:val="auto"/>
          <w:sz w:val="22"/>
          <w:szCs w:val="22"/>
        </w:rPr>
        <w:t>.</w:t>
      </w:r>
    </w:p>
    <w:p w14:paraId="5192C16F" w14:textId="77777777" w:rsidR="00F57D0B" w:rsidRPr="00F57D0B" w:rsidRDefault="00F57D0B" w:rsidP="00F57D0B">
      <w:pPr>
        <w:pStyle w:val="Default"/>
        <w:jc w:val="both"/>
        <w:rPr>
          <w:rFonts w:asciiTheme="minorHAnsi" w:hAnsiTheme="minorHAnsi"/>
          <w:color w:val="auto"/>
          <w:sz w:val="22"/>
          <w:szCs w:val="22"/>
        </w:rPr>
      </w:pPr>
    </w:p>
    <w:p w14:paraId="06138E27" w14:textId="77777777" w:rsidR="00F57D0B" w:rsidRPr="001C7EED" w:rsidRDefault="001C7EED" w:rsidP="00F57D0B">
      <w:pPr>
        <w:pStyle w:val="Default"/>
        <w:jc w:val="both"/>
        <w:rPr>
          <w:rFonts w:asciiTheme="minorHAnsi" w:hAnsiTheme="minorHAnsi"/>
          <w:b/>
          <w:color w:val="auto"/>
          <w:sz w:val="28"/>
          <w:szCs w:val="28"/>
        </w:rPr>
      </w:pPr>
      <w:r w:rsidRPr="001C7EED">
        <w:rPr>
          <w:rFonts w:asciiTheme="minorHAnsi" w:hAnsiTheme="minorHAnsi"/>
          <w:b/>
          <w:color w:val="auto"/>
          <w:sz w:val="28"/>
          <w:szCs w:val="28"/>
        </w:rPr>
        <w:t>Chapter Nine</w:t>
      </w:r>
    </w:p>
    <w:p w14:paraId="374124F1" w14:textId="77777777" w:rsidR="00F57D0B" w:rsidRPr="00F57D0B" w:rsidRDefault="00F57D0B" w:rsidP="00F57D0B">
      <w:pPr>
        <w:pStyle w:val="Default"/>
        <w:jc w:val="both"/>
        <w:rPr>
          <w:rFonts w:asciiTheme="minorHAnsi" w:hAnsiTheme="minorHAnsi"/>
          <w:color w:val="auto"/>
          <w:sz w:val="22"/>
          <w:szCs w:val="22"/>
        </w:rPr>
      </w:pPr>
      <w:r w:rsidRPr="00F57D0B">
        <w:rPr>
          <w:rFonts w:asciiTheme="minorHAnsi" w:hAnsiTheme="minorHAnsi"/>
          <w:color w:val="auto"/>
          <w:sz w:val="22"/>
          <w:szCs w:val="22"/>
        </w:rPr>
        <w:t>9.3 – Why not just recommend that Gov</w:t>
      </w:r>
      <w:r w:rsidR="001C7EED">
        <w:rPr>
          <w:rFonts w:asciiTheme="minorHAnsi" w:hAnsiTheme="minorHAnsi"/>
          <w:color w:val="auto"/>
          <w:sz w:val="22"/>
          <w:szCs w:val="22"/>
        </w:rPr>
        <w:t>ernment</w:t>
      </w:r>
      <w:r w:rsidRPr="00F57D0B">
        <w:rPr>
          <w:rFonts w:asciiTheme="minorHAnsi" w:hAnsiTheme="minorHAnsi"/>
          <w:color w:val="auto"/>
          <w:sz w:val="22"/>
          <w:szCs w:val="22"/>
        </w:rPr>
        <w:t xml:space="preserve"> model contracts should always prioritise life safety in case of fire?  Why not mandate a QDR process and interdisciplinary checking regimes to ensure designs are co-ordinated with fire safety prioritised?  Why not require construction contracts that necessitate building information handover or face sanction</w:t>
      </w:r>
      <w:r w:rsidR="004C6521">
        <w:rPr>
          <w:rFonts w:asciiTheme="minorHAnsi" w:hAnsiTheme="minorHAnsi"/>
          <w:color w:val="auto"/>
          <w:sz w:val="22"/>
          <w:szCs w:val="22"/>
        </w:rPr>
        <w:t>s</w:t>
      </w:r>
      <w:r w:rsidRPr="00F57D0B">
        <w:rPr>
          <w:rFonts w:asciiTheme="minorHAnsi" w:hAnsiTheme="minorHAnsi"/>
          <w:color w:val="auto"/>
          <w:sz w:val="22"/>
          <w:szCs w:val="22"/>
        </w:rPr>
        <w:t xml:space="preserve"> </w:t>
      </w:r>
      <w:proofErr w:type="gramStart"/>
      <w:r w:rsidRPr="00F57D0B">
        <w:rPr>
          <w:rFonts w:asciiTheme="minorHAnsi" w:hAnsiTheme="minorHAnsi"/>
          <w:color w:val="auto"/>
          <w:sz w:val="22"/>
          <w:szCs w:val="22"/>
        </w:rPr>
        <w:t>similar to</w:t>
      </w:r>
      <w:proofErr w:type="gramEnd"/>
      <w:r w:rsidRPr="00F57D0B">
        <w:rPr>
          <w:rFonts w:asciiTheme="minorHAnsi" w:hAnsiTheme="minorHAnsi"/>
          <w:color w:val="auto"/>
          <w:sz w:val="22"/>
          <w:szCs w:val="22"/>
        </w:rPr>
        <w:t xml:space="preserve"> fraud offences?  Why avoid building-in-use contracts between managers and tenants and state what minimum criteria is needed from both sides.</w:t>
      </w:r>
    </w:p>
    <w:p w14:paraId="593302EC" w14:textId="77777777" w:rsidR="00F57D0B" w:rsidRPr="00F57D0B" w:rsidRDefault="00F57D0B" w:rsidP="00F57D0B">
      <w:pPr>
        <w:pStyle w:val="Default"/>
        <w:jc w:val="both"/>
        <w:rPr>
          <w:rFonts w:asciiTheme="minorHAnsi" w:hAnsiTheme="minorHAnsi"/>
          <w:color w:val="auto"/>
          <w:sz w:val="22"/>
          <w:szCs w:val="22"/>
        </w:rPr>
      </w:pPr>
    </w:p>
    <w:p w14:paraId="1503FB9E" w14:textId="529CA5A7" w:rsidR="00F57D0B" w:rsidRPr="00F57D0B" w:rsidRDefault="00F57D0B" w:rsidP="00F57D0B">
      <w:pPr>
        <w:pStyle w:val="Default"/>
        <w:jc w:val="both"/>
        <w:rPr>
          <w:rFonts w:asciiTheme="minorHAnsi" w:hAnsiTheme="minorHAnsi"/>
          <w:color w:val="auto"/>
          <w:sz w:val="22"/>
          <w:szCs w:val="22"/>
        </w:rPr>
      </w:pPr>
      <w:r w:rsidRPr="00F57D0B">
        <w:rPr>
          <w:rFonts w:asciiTheme="minorHAnsi" w:hAnsiTheme="minorHAnsi"/>
          <w:color w:val="auto"/>
          <w:sz w:val="22"/>
          <w:szCs w:val="22"/>
        </w:rPr>
        <w:lastRenderedPageBreak/>
        <w:t>9.9 – Best value contracts do</w:t>
      </w:r>
      <w:r w:rsidR="001C7EED">
        <w:rPr>
          <w:rFonts w:asciiTheme="minorHAnsi" w:hAnsiTheme="minorHAnsi"/>
          <w:color w:val="auto"/>
          <w:sz w:val="22"/>
          <w:szCs w:val="22"/>
        </w:rPr>
        <w:t xml:space="preserve"> </w:t>
      </w:r>
      <w:r w:rsidRPr="00F57D0B">
        <w:rPr>
          <w:rFonts w:asciiTheme="minorHAnsi" w:hAnsiTheme="minorHAnsi"/>
          <w:color w:val="auto"/>
          <w:sz w:val="22"/>
          <w:szCs w:val="22"/>
        </w:rPr>
        <w:t>n</w:t>
      </w:r>
      <w:r w:rsidR="001C7EED">
        <w:rPr>
          <w:rFonts w:asciiTheme="minorHAnsi" w:hAnsiTheme="minorHAnsi"/>
          <w:color w:val="auto"/>
          <w:sz w:val="22"/>
          <w:szCs w:val="22"/>
        </w:rPr>
        <w:t>o</w:t>
      </w:r>
      <w:r w:rsidRPr="00F57D0B">
        <w:rPr>
          <w:rFonts w:asciiTheme="minorHAnsi" w:hAnsiTheme="minorHAnsi"/>
          <w:color w:val="auto"/>
          <w:sz w:val="22"/>
          <w:szCs w:val="22"/>
        </w:rPr>
        <w:t>t prioritise safety, they strike a balance between build and operational costs.  This is not new and dates from the Local Government Act 1999.  This is dislocation from the thrust of other recommendations such as putting the residents at the heart of projects.</w:t>
      </w:r>
    </w:p>
    <w:p w14:paraId="54D894BE" w14:textId="77777777" w:rsidR="00F57D0B" w:rsidRPr="00F57D0B" w:rsidRDefault="00F57D0B" w:rsidP="00F57D0B">
      <w:pPr>
        <w:pStyle w:val="Default"/>
        <w:jc w:val="both"/>
        <w:rPr>
          <w:rFonts w:asciiTheme="minorHAnsi" w:hAnsiTheme="minorHAnsi"/>
          <w:color w:val="auto"/>
          <w:sz w:val="22"/>
          <w:szCs w:val="22"/>
        </w:rPr>
      </w:pPr>
    </w:p>
    <w:p w14:paraId="13CF2DA5" w14:textId="77777777" w:rsidR="00F57D0B" w:rsidRPr="00F57D0B" w:rsidRDefault="00F57D0B" w:rsidP="00F57D0B">
      <w:pPr>
        <w:pStyle w:val="Default"/>
        <w:jc w:val="both"/>
        <w:rPr>
          <w:rFonts w:asciiTheme="minorHAnsi" w:hAnsiTheme="minorHAnsi"/>
          <w:color w:val="auto"/>
          <w:sz w:val="22"/>
          <w:szCs w:val="22"/>
        </w:rPr>
      </w:pPr>
      <w:r w:rsidRPr="00F57D0B">
        <w:rPr>
          <w:rFonts w:asciiTheme="minorHAnsi" w:hAnsiTheme="minorHAnsi"/>
          <w:color w:val="auto"/>
          <w:sz w:val="22"/>
          <w:szCs w:val="22"/>
        </w:rPr>
        <w:t>Recommendation 9.1 (a) – cost reduction is fine if the risk remains within the broadly acceptable region of ALARP.  What must be proven is that the building remains safe in case of fire, e.g. imagine an airport terminal over 20m high with proposed structural fire resistance of 90 minutes reduced to 60 minutes where savings of millions of pounds could occur.  Should a contract prevent this saving?</w:t>
      </w:r>
    </w:p>
    <w:p w14:paraId="0E16C6A5" w14:textId="77777777" w:rsidR="00F57D0B" w:rsidRPr="00F57D0B" w:rsidRDefault="00F57D0B" w:rsidP="00F57D0B">
      <w:pPr>
        <w:pStyle w:val="Default"/>
        <w:jc w:val="both"/>
        <w:rPr>
          <w:rFonts w:asciiTheme="minorHAnsi" w:hAnsiTheme="minorHAnsi"/>
          <w:color w:val="auto"/>
          <w:sz w:val="22"/>
          <w:szCs w:val="22"/>
        </w:rPr>
      </w:pPr>
    </w:p>
    <w:p w14:paraId="1ACF6828" w14:textId="5E8BD015" w:rsidR="00F57D0B" w:rsidRPr="00F57D0B" w:rsidRDefault="00F57D0B" w:rsidP="00F57D0B">
      <w:pPr>
        <w:pStyle w:val="Default"/>
        <w:jc w:val="both"/>
        <w:rPr>
          <w:rFonts w:asciiTheme="minorHAnsi" w:hAnsiTheme="minorHAnsi"/>
          <w:color w:val="auto"/>
          <w:sz w:val="22"/>
          <w:szCs w:val="22"/>
        </w:rPr>
      </w:pPr>
      <w:r w:rsidRPr="00F57D0B">
        <w:rPr>
          <w:rFonts w:asciiTheme="minorHAnsi" w:hAnsiTheme="minorHAnsi"/>
          <w:color w:val="auto"/>
          <w:sz w:val="22"/>
          <w:szCs w:val="22"/>
        </w:rPr>
        <w:t xml:space="preserve">Recommendation 9.2 (a) – it is good to see whole system thinking linking through from earlier in the </w:t>
      </w:r>
      <w:r w:rsidR="0087431B">
        <w:rPr>
          <w:rFonts w:asciiTheme="minorHAnsi" w:hAnsiTheme="minorHAnsi"/>
          <w:color w:val="auto"/>
          <w:sz w:val="22"/>
          <w:szCs w:val="22"/>
        </w:rPr>
        <w:t>Report</w:t>
      </w:r>
      <w:r w:rsidRPr="00F57D0B">
        <w:rPr>
          <w:rFonts w:asciiTheme="minorHAnsi" w:hAnsiTheme="minorHAnsi"/>
          <w:color w:val="auto"/>
          <w:sz w:val="22"/>
          <w:szCs w:val="22"/>
        </w:rPr>
        <w:t xml:space="preserve"> with procurement. </w:t>
      </w:r>
    </w:p>
    <w:p w14:paraId="21DB938F" w14:textId="77777777" w:rsidR="00F57D0B" w:rsidRPr="00F57D0B" w:rsidRDefault="00F57D0B" w:rsidP="00F57D0B">
      <w:pPr>
        <w:pStyle w:val="Default"/>
        <w:jc w:val="both"/>
        <w:rPr>
          <w:rFonts w:asciiTheme="minorHAnsi" w:hAnsiTheme="minorHAnsi"/>
          <w:color w:val="auto"/>
          <w:sz w:val="22"/>
          <w:szCs w:val="22"/>
        </w:rPr>
      </w:pPr>
    </w:p>
    <w:p w14:paraId="7FB8A44B" w14:textId="77777777" w:rsidR="00F57D0B" w:rsidRPr="00F57D0B" w:rsidRDefault="00F57D0B" w:rsidP="00F57D0B">
      <w:pPr>
        <w:pStyle w:val="Default"/>
        <w:jc w:val="both"/>
        <w:rPr>
          <w:rFonts w:asciiTheme="minorHAnsi" w:hAnsiTheme="minorHAnsi"/>
          <w:b/>
          <w:bCs/>
          <w:color w:val="auto"/>
          <w:sz w:val="22"/>
          <w:szCs w:val="22"/>
        </w:rPr>
      </w:pPr>
      <w:r w:rsidRPr="00F57D0B">
        <w:rPr>
          <w:rFonts w:asciiTheme="minorHAnsi" w:hAnsiTheme="minorHAnsi"/>
          <w:b/>
          <w:bCs/>
          <w:color w:val="auto"/>
          <w:sz w:val="22"/>
          <w:szCs w:val="22"/>
        </w:rPr>
        <w:t>CHAPTER TEN</w:t>
      </w:r>
    </w:p>
    <w:p w14:paraId="6983DF28" w14:textId="77777777" w:rsidR="00F57D0B" w:rsidRPr="00F57D0B" w:rsidRDefault="00F57D0B" w:rsidP="00F57D0B">
      <w:pPr>
        <w:pStyle w:val="Default"/>
        <w:jc w:val="both"/>
        <w:rPr>
          <w:rFonts w:asciiTheme="minorHAnsi" w:hAnsiTheme="minorHAnsi"/>
          <w:b/>
          <w:bCs/>
          <w:color w:val="auto"/>
          <w:sz w:val="22"/>
          <w:szCs w:val="22"/>
        </w:rPr>
      </w:pPr>
    </w:p>
    <w:p w14:paraId="031502F0" w14:textId="34BA9C5B" w:rsidR="00F57D0B" w:rsidRPr="00F57D0B" w:rsidRDefault="00F57D0B" w:rsidP="00F57D0B">
      <w:pPr>
        <w:pStyle w:val="Default"/>
        <w:jc w:val="both"/>
        <w:rPr>
          <w:rFonts w:asciiTheme="minorHAnsi" w:hAnsiTheme="minorHAnsi"/>
          <w:color w:val="auto"/>
          <w:sz w:val="22"/>
          <w:szCs w:val="22"/>
        </w:rPr>
      </w:pPr>
      <w:r w:rsidRPr="00F57D0B">
        <w:rPr>
          <w:rFonts w:asciiTheme="minorHAnsi" w:hAnsiTheme="minorHAnsi"/>
          <w:color w:val="auto"/>
          <w:sz w:val="22"/>
          <w:szCs w:val="22"/>
        </w:rPr>
        <w:t xml:space="preserve">10.12 – Yet again, the QDR process is the answer, yet again the </w:t>
      </w:r>
      <w:r w:rsidR="0087431B">
        <w:rPr>
          <w:rFonts w:asciiTheme="minorHAnsi" w:hAnsiTheme="minorHAnsi"/>
          <w:color w:val="auto"/>
          <w:sz w:val="22"/>
          <w:szCs w:val="22"/>
        </w:rPr>
        <w:t>Report</w:t>
      </w:r>
      <w:r w:rsidRPr="00F57D0B">
        <w:rPr>
          <w:rFonts w:asciiTheme="minorHAnsi" w:hAnsiTheme="minorHAnsi"/>
          <w:color w:val="auto"/>
          <w:sz w:val="22"/>
          <w:szCs w:val="22"/>
        </w:rPr>
        <w:t xml:space="preserve"> is silent upon this solution.</w:t>
      </w:r>
    </w:p>
    <w:p w14:paraId="581E58E6" w14:textId="77777777" w:rsidR="00F57D0B" w:rsidRPr="00F57D0B" w:rsidRDefault="00F57D0B" w:rsidP="00F57D0B">
      <w:pPr>
        <w:pStyle w:val="Default"/>
        <w:jc w:val="both"/>
        <w:rPr>
          <w:rFonts w:asciiTheme="minorHAnsi" w:hAnsiTheme="minorHAnsi"/>
          <w:color w:val="auto"/>
          <w:sz w:val="22"/>
          <w:szCs w:val="22"/>
        </w:rPr>
      </w:pPr>
    </w:p>
    <w:p w14:paraId="1F4553BD" w14:textId="760D2A05" w:rsidR="00F57D0B" w:rsidRPr="00F57D0B" w:rsidRDefault="00F57D0B" w:rsidP="00F57D0B">
      <w:pPr>
        <w:pStyle w:val="Default"/>
        <w:jc w:val="both"/>
        <w:rPr>
          <w:rFonts w:asciiTheme="minorHAnsi" w:hAnsiTheme="minorHAnsi"/>
          <w:color w:val="auto"/>
          <w:sz w:val="22"/>
          <w:szCs w:val="22"/>
        </w:rPr>
      </w:pPr>
      <w:r w:rsidRPr="00F57D0B">
        <w:rPr>
          <w:rFonts w:asciiTheme="minorHAnsi" w:hAnsiTheme="minorHAnsi"/>
          <w:color w:val="auto"/>
          <w:sz w:val="22"/>
          <w:szCs w:val="22"/>
        </w:rPr>
        <w:t xml:space="preserve">10.13 – Egan, Latham and PPC2000 are inferred here.  </w:t>
      </w:r>
      <w:r w:rsidR="001C7EED">
        <w:rPr>
          <w:rFonts w:asciiTheme="minorHAnsi" w:hAnsiTheme="minorHAnsi"/>
          <w:color w:val="auto"/>
          <w:sz w:val="22"/>
          <w:szCs w:val="22"/>
        </w:rPr>
        <w:t>The lessons learned</w:t>
      </w:r>
      <w:r w:rsidRPr="00F57D0B">
        <w:rPr>
          <w:rFonts w:asciiTheme="minorHAnsi" w:hAnsiTheme="minorHAnsi"/>
          <w:color w:val="auto"/>
          <w:sz w:val="22"/>
          <w:szCs w:val="22"/>
        </w:rPr>
        <w:t xml:space="preserve"> from these studies </w:t>
      </w:r>
      <w:r w:rsidR="001C7EED">
        <w:rPr>
          <w:rFonts w:asciiTheme="minorHAnsi" w:hAnsiTheme="minorHAnsi"/>
          <w:color w:val="auto"/>
          <w:sz w:val="22"/>
          <w:szCs w:val="22"/>
        </w:rPr>
        <w:t>need to</w:t>
      </w:r>
      <w:r w:rsidR="004C6521">
        <w:rPr>
          <w:rFonts w:asciiTheme="minorHAnsi" w:hAnsiTheme="minorHAnsi"/>
          <w:color w:val="auto"/>
          <w:sz w:val="22"/>
          <w:szCs w:val="22"/>
        </w:rPr>
        <w:t xml:space="preserve"> be</w:t>
      </w:r>
      <w:r w:rsidR="001C7EED">
        <w:rPr>
          <w:rFonts w:asciiTheme="minorHAnsi" w:hAnsiTheme="minorHAnsi"/>
          <w:color w:val="auto"/>
          <w:sz w:val="22"/>
          <w:szCs w:val="22"/>
        </w:rPr>
        <w:t xml:space="preserve"> </w:t>
      </w:r>
      <w:r w:rsidRPr="00F57D0B">
        <w:rPr>
          <w:rFonts w:asciiTheme="minorHAnsi" w:hAnsiTheme="minorHAnsi"/>
          <w:color w:val="auto"/>
          <w:sz w:val="22"/>
          <w:szCs w:val="22"/>
        </w:rPr>
        <w:t>expanded upon and made specific for fire safety?</w:t>
      </w:r>
    </w:p>
    <w:p w14:paraId="41AA3E85" w14:textId="77777777" w:rsidR="00F57D0B" w:rsidRPr="00F57D0B" w:rsidRDefault="00F57D0B" w:rsidP="00F57D0B">
      <w:pPr>
        <w:pStyle w:val="Default"/>
        <w:jc w:val="both"/>
        <w:rPr>
          <w:rFonts w:asciiTheme="minorHAnsi" w:hAnsiTheme="minorHAnsi"/>
          <w:color w:val="auto"/>
          <w:sz w:val="22"/>
          <w:szCs w:val="22"/>
        </w:rPr>
      </w:pPr>
    </w:p>
    <w:p w14:paraId="3B2D4B62" w14:textId="77777777" w:rsidR="00F57D0B" w:rsidRPr="00F57D0B" w:rsidRDefault="001C7EED" w:rsidP="00F57D0B">
      <w:pPr>
        <w:jc w:val="both"/>
        <w:rPr>
          <w:rFonts w:asciiTheme="minorHAnsi" w:hAnsiTheme="minorHAnsi"/>
          <w:i/>
          <w:iCs/>
        </w:rPr>
      </w:pPr>
      <w:r>
        <w:rPr>
          <w:rFonts w:asciiTheme="minorHAnsi" w:hAnsiTheme="minorHAnsi"/>
          <w:i/>
          <w:iCs/>
        </w:rPr>
        <w:t>July 2018 CIAT</w:t>
      </w:r>
    </w:p>
    <w:p w14:paraId="53B1CAFD" w14:textId="77777777" w:rsidR="00F57D0B" w:rsidRPr="00F57D0B" w:rsidRDefault="00F57D0B" w:rsidP="00F57D0B">
      <w:pPr>
        <w:jc w:val="both"/>
        <w:rPr>
          <w:rFonts w:asciiTheme="minorHAnsi" w:hAnsiTheme="minorHAnsi"/>
        </w:rPr>
      </w:pPr>
    </w:p>
    <w:p w14:paraId="66C52453" w14:textId="77777777" w:rsidR="00F57D0B" w:rsidRPr="00F57D0B" w:rsidRDefault="00F57D0B" w:rsidP="00F57D0B">
      <w:pPr>
        <w:jc w:val="both"/>
        <w:rPr>
          <w:rFonts w:asciiTheme="minorHAnsi" w:hAnsiTheme="minorHAnsi"/>
        </w:rPr>
      </w:pPr>
    </w:p>
    <w:p w14:paraId="340F6AE1" w14:textId="77777777" w:rsidR="00F57D0B" w:rsidRPr="00F57D0B" w:rsidRDefault="00F57D0B" w:rsidP="00F57D0B">
      <w:pPr>
        <w:jc w:val="both"/>
        <w:rPr>
          <w:rFonts w:asciiTheme="minorHAnsi" w:hAnsiTheme="minorHAnsi"/>
        </w:rPr>
      </w:pPr>
    </w:p>
    <w:p w14:paraId="4E8414B3" w14:textId="77777777" w:rsidR="00F57D0B" w:rsidRPr="00F57D0B" w:rsidRDefault="00F57D0B" w:rsidP="00F57D0B">
      <w:pPr>
        <w:jc w:val="both"/>
        <w:rPr>
          <w:rFonts w:asciiTheme="minorHAnsi" w:hAnsiTheme="minorHAnsi"/>
        </w:rPr>
      </w:pPr>
    </w:p>
    <w:p w14:paraId="3C1B0480" w14:textId="77777777" w:rsidR="00B66ED0" w:rsidRPr="00F57D0B" w:rsidRDefault="00B66ED0" w:rsidP="00F57D0B">
      <w:pPr>
        <w:jc w:val="both"/>
        <w:outlineLvl w:val="0"/>
        <w:rPr>
          <w:rFonts w:asciiTheme="minorHAnsi" w:hAnsiTheme="minorHAnsi"/>
          <w:lang w:val="en-US"/>
        </w:rPr>
      </w:pPr>
    </w:p>
    <w:sectPr w:rsidR="00B66ED0" w:rsidRPr="00F57D0B" w:rsidSect="00590C75">
      <w:headerReference w:type="default" r:id="rId8"/>
      <w:footerReference w:type="default" r:id="rId9"/>
      <w:pgSz w:w="11906" w:h="16838"/>
      <w:pgMar w:top="1440" w:right="1440" w:bottom="851" w:left="1440" w:header="708" w:footer="2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60AC6" w14:textId="77777777" w:rsidR="00515B5C" w:rsidRDefault="00515B5C" w:rsidP="001714D7">
      <w:r>
        <w:separator/>
      </w:r>
    </w:p>
  </w:endnote>
  <w:endnote w:type="continuationSeparator" w:id="0">
    <w:p w14:paraId="3D0A6308" w14:textId="77777777" w:rsidR="00515B5C" w:rsidRDefault="00515B5C" w:rsidP="00171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Frutiger LT Std 45 Light">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5789058"/>
      <w:docPartObj>
        <w:docPartGallery w:val="Page Numbers (Bottom of Page)"/>
        <w:docPartUnique/>
      </w:docPartObj>
    </w:sdtPr>
    <w:sdtEndPr/>
    <w:sdtContent>
      <w:sdt>
        <w:sdtPr>
          <w:id w:val="739525174"/>
          <w:docPartObj>
            <w:docPartGallery w:val="Page Numbers (Top of Page)"/>
            <w:docPartUnique/>
          </w:docPartObj>
        </w:sdtPr>
        <w:sdtEndPr/>
        <w:sdtContent>
          <w:p w14:paraId="10907F23" w14:textId="77777777" w:rsidR="00505F67" w:rsidRDefault="00505F67">
            <w:pPr>
              <w:pStyle w:val="Footer"/>
            </w:pPr>
            <w:r w:rsidRPr="001714D7">
              <w:rPr>
                <w:b/>
                <w:i/>
                <w:sz w:val="16"/>
                <w:szCs w:val="16"/>
              </w:rPr>
              <w:t xml:space="preserve">Page </w:t>
            </w:r>
            <w:r w:rsidRPr="001714D7">
              <w:rPr>
                <w:b/>
                <w:bCs/>
                <w:i/>
                <w:sz w:val="16"/>
                <w:szCs w:val="16"/>
              </w:rPr>
              <w:fldChar w:fldCharType="begin"/>
            </w:r>
            <w:r w:rsidRPr="001714D7">
              <w:rPr>
                <w:b/>
                <w:bCs/>
                <w:i/>
                <w:sz w:val="16"/>
                <w:szCs w:val="16"/>
              </w:rPr>
              <w:instrText xml:space="preserve"> PAGE </w:instrText>
            </w:r>
            <w:r w:rsidRPr="001714D7">
              <w:rPr>
                <w:b/>
                <w:bCs/>
                <w:i/>
                <w:sz w:val="16"/>
                <w:szCs w:val="16"/>
              </w:rPr>
              <w:fldChar w:fldCharType="separate"/>
            </w:r>
            <w:r w:rsidR="00D77315">
              <w:rPr>
                <w:b/>
                <w:bCs/>
                <w:i/>
                <w:noProof/>
                <w:sz w:val="16"/>
                <w:szCs w:val="16"/>
              </w:rPr>
              <w:t>9</w:t>
            </w:r>
            <w:r w:rsidRPr="001714D7">
              <w:rPr>
                <w:b/>
                <w:bCs/>
                <w:i/>
                <w:sz w:val="16"/>
                <w:szCs w:val="16"/>
              </w:rPr>
              <w:fldChar w:fldCharType="end"/>
            </w:r>
            <w:r w:rsidRPr="001714D7">
              <w:rPr>
                <w:b/>
                <w:i/>
                <w:sz w:val="16"/>
                <w:szCs w:val="16"/>
              </w:rPr>
              <w:t xml:space="preserve"> of </w:t>
            </w:r>
            <w:r w:rsidRPr="001714D7">
              <w:rPr>
                <w:b/>
                <w:bCs/>
                <w:i/>
                <w:sz w:val="16"/>
                <w:szCs w:val="16"/>
              </w:rPr>
              <w:fldChar w:fldCharType="begin"/>
            </w:r>
            <w:r w:rsidRPr="001714D7">
              <w:rPr>
                <w:b/>
                <w:bCs/>
                <w:i/>
                <w:sz w:val="16"/>
                <w:szCs w:val="16"/>
              </w:rPr>
              <w:instrText xml:space="preserve"> NUMPAGES  </w:instrText>
            </w:r>
            <w:r w:rsidRPr="001714D7">
              <w:rPr>
                <w:b/>
                <w:bCs/>
                <w:i/>
                <w:sz w:val="16"/>
                <w:szCs w:val="16"/>
              </w:rPr>
              <w:fldChar w:fldCharType="separate"/>
            </w:r>
            <w:r w:rsidR="00D77315">
              <w:rPr>
                <w:b/>
                <w:bCs/>
                <w:i/>
                <w:noProof/>
                <w:sz w:val="16"/>
                <w:szCs w:val="16"/>
              </w:rPr>
              <w:t>26</w:t>
            </w:r>
            <w:r w:rsidRPr="001714D7">
              <w:rPr>
                <w:b/>
                <w:bCs/>
                <w:i/>
                <w:sz w:val="16"/>
                <w:szCs w:val="16"/>
              </w:rPr>
              <w:fldChar w:fldCharType="end"/>
            </w:r>
          </w:p>
        </w:sdtContent>
      </w:sdt>
    </w:sdtContent>
  </w:sdt>
  <w:p w14:paraId="126A2C0C" w14:textId="77777777" w:rsidR="00505F67" w:rsidRDefault="00505F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1D5A5" w14:textId="77777777" w:rsidR="00515B5C" w:rsidRDefault="00515B5C" w:rsidP="001714D7">
      <w:r>
        <w:separator/>
      </w:r>
    </w:p>
  </w:footnote>
  <w:footnote w:type="continuationSeparator" w:id="0">
    <w:p w14:paraId="7D4966F8" w14:textId="77777777" w:rsidR="00515B5C" w:rsidRDefault="00515B5C" w:rsidP="00171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DE4DD" w14:textId="77777777" w:rsidR="00505F67" w:rsidRDefault="00505F67" w:rsidP="001714D7">
    <w:pPr>
      <w:pStyle w:val="Header"/>
      <w:jc w:val="right"/>
    </w:pPr>
    <w:r>
      <w:rPr>
        <w:b/>
        <w:noProof/>
        <w:sz w:val="28"/>
        <w:szCs w:val="28"/>
      </w:rPr>
      <w:drawing>
        <wp:inline distT="0" distB="0" distL="0" distR="0" wp14:anchorId="441C7B67" wp14:editId="13B6EA40">
          <wp:extent cx="1739778" cy="491324"/>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AT mon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1517" cy="4946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433A0"/>
    <w:multiLevelType w:val="hybridMultilevel"/>
    <w:tmpl w:val="4AE6E3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CF6598"/>
    <w:multiLevelType w:val="hybridMultilevel"/>
    <w:tmpl w:val="5FF847FA"/>
    <w:lvl w:ilvl="0" w:tplc="5E007D24">
      <w:numFmt w:val="bullet"/>
      <w:lvlText w:val="•"/>
      <w:lvlJc w:val="left"/>
      <w:pPr>
        <w:ind w:left="720" w:hanging="360"/>
      </w:pPr>
      <w:rPr>
        <w:rFonts w:asciiTheme="minorHAnsi" w:eastAsiaTheme="minorHAnsi" w:hAnsiTheme="minorHAns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245A0"/>
    <w:multiLevelType w:val="hybridMultilevel"/>
    <w:tmpl w:val="9EE65160"/>
    <w:lvl w:ilvl="0" w:tplc="DBD28A50">
      <w:numFmt w:val="bullet"/>
      <w:lvlText w:val=""/>
      <w:lvlJc w:val="left"/>
      <w:pPr>
        <w:ind w:left="720" w:hanging="360"/>
      </w:pPr>
      <w:rPr>
        <w:rFonts w:ascii="Symbol" w:eastAsiaTheme="minorHAns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004625"/>
    <w:multiLevelType w:val="hybridMultilevel"/>
    <w:tmpl w:val="7A50C14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15B45410"/>
    <w:multiLevelType w:val="hybridMultilevel"/>
    <w:tmpl w:val="733C65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C12D95"/>
    <w:multiLevelType w:val="hybridMultilevel"/>
    <w:tmpl w:val="4BDEDDF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695725"/>
    <w:multiLevelType w:val="hybridMultilevel"/>
    <w:tmpl w:val="F536C024"/>
    <w:lvl w:ilvl="0" w:tplc="5E007D24">
      <w:numFmt w:val="bullet"/>
      <w:lvlText w:val="•"/>
      <w:lvlJc w:val="left"/>
      <w:pPr>
        <w:ind w:left="1080" w:hanging="360"/>
      </w:pPr>
      <w:rPr>
        <w:rFonts w:asciiTheme="minorHAnsi" w:eastAsiaTheme="minorHAnsi" w:hAnsiTheme="minorHAns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0F79AF"/>
    <w:multiLevelType w:val="hybridMultilevel"/>
    <w:tmpl w:val="DF30C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F20D06"/>
    <w:multiLevelType w:val="hybridMultilevel"/>
    <w:tmpl w:val="A3EE7A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C43459"/>
    <w:multiLevelType w:val="hybridMultilevel"/>
    <w:tmpl w:val="26643FBA"/>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4A2CDB"/>
    <w:multiLevelType w:val="hybridMultilevel"/>
    <w:tmpl w:val="23A24D7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2F10F2D"/>
    <w:multiLevelType w:val="hybridMultilevel"/>
    <w:tmpl w:val="B480348A"/>
    <w:lvl w:ilvl="0" w:tplc="5B6218B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9677AE"/>
    <w:multiLevelType w:val="hybridMultilevel"/>
    <w:tmpl w:val="4928EF64"/>
    <w:lvl w:ilvl="0" w:tplc="5E007D24">
      <w:numFmt w:val="bullet"/>
      <w:lvlText w:val="•"/>
      <w:lvlJc w:val="left"/>
      <w:pPr>
        <w:ind w:left="1080" w:hanging="360"/>
      </w:pPr>
      <w:rPr>
        <w:rFonts w:asciiTheme="minorHAnsi" w:eastAsiaTheme="minorHAnsi" w:hAnsiTheme="minorHAns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B940DC"/>
    <w:multiLevelType w:val="hybridMultilevel"/>
    <w:tmpl w:val="E3FCF1EE"/>
    <w:lvl w:ilvl="0" w:tplc="5B6218B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4A6AD0"/>
    <w:multiLevelType w:val="hybridMultilevel"/>
    <w:tmpl w:val="E1B6A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345EE1"/>
    <w:multiLevelType w:val="hybridMultilevel"/>
    <w:tmpl w:val="669E346A"/>
    <w:lvl w:ilvl="0" w:tplc="5E007D24">
      <w:numFmt w:val="bullet"/>
      <w:lvlText w:val="•"/>
      <w:lvlJc w:val="left"/>
      <w:pPr>
        <w:ind w:left="1080" w:hanging="360"/>
      </w:pPr>
      <w:rPr>
        <w:rFonts w:asciiTheme="minorHAnsi" w:eastAsiaTheme="minorHAnsi" w:hAnsiTheme="minorHAns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0111D8"/>
    <w:multiLevelType w:val="hybridMultilevel"/>
    <w:tmpl w:val="6B5E613E"/>
    <w:lvl w:ilvl="0" w:tplc="1304ED44">
      <w:start w:val="1"/>
      <w:numFmt w:val="decimal"/>
      <w:lvlText w:val="%1."/>
      <w:lvlJc w:val="left"/>
      <w:pPr>
        <w:ind w:left="720" w:hanging="360"/>
      </w:pPr>
      <w:rPr>
        <w:rFonts w:asciiTheme="minorHAnsi" w:eastAsiaTheme="minorHAnsi" w:hAnsiTheme="minorHAnsi" w:cstheme="minorBidi"/>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6C0D9F"/>
    <w:multiLevelType w:val="hybridMultilevel"/>
    <w:tmpl w:val="971ED9C2"/>
    <w:lvl w:ilvl="0" w:tplc="5E007D24">
      <w:numFmt w:val="bullet"/>
      <w:lvlText w:val="•"/>
      <w:lvlJc w:val="left"/>
      <w:pPr>
        <w:ind w:left="2520" w:hanging="360"/>
      </w:pPr>
      <w:rPr>
        <w:rFonts w:asciiTheme="minorHAnsi" w:eastAsiaTheme="minorHAnsi" w:hAnsiTheme="minorHAnsi" w:cstheme="minorBid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459F374F"/>
    <w:multiLevelType w:val="hybridMultilevel"/>
    <w:tmpl w:val="3F02C4DE"/>
    <w:lvl w:ilvl="0" w:tplc="08090001">
      <w:start w:val="1"/>
      <w:numFmt w:val="bullet"/>
      <w:lvlText w:val=""/>
      <w:lvlJc w:val="left"/>
      <w:pPr>
        <w:ind w:left="1932" w:hanging="360"/>
      </w:pPr>
      <w:rPr>
        <w:rFonts w:ascii="Symbol" w:hAnsi="Symbol" w:hint="default"/>
      </w:rPr>
    </w:lvl>
    <w:lvl w:ilvl="1" w:tplc="08090019" w:tentative="1">
      <w:start w:val="1"/>
      <w:numFmt w:val="lowerLetter"/>
      <w:lvlText w:val="%2."/>
      <w:lvlJc w:val="left"/>
      <w:pPr>
        <w:ind w:left="2652" w:hanging="360"/>
      </w:pPr>
    </w:lvl>
    <w:lvl w:ilvl="2" w:tplc="0809001B" w:tentative="1">
      <w:start w:val="1"/>
      <w:numFmt w:val="lowerRoman"/>
      <w:lvlText w:val="%3."/>
      <w:lvlJc w:val="right"/>
      <w:pPr>
        <w:ind w:left="3372" w:hanging="180"/>
      </w:pPr>
    </w:lvl>
    <w:lvl w:ilvl="3" w:tplc="0809000F" w:tentative="1">
      <w:start w:val="1"/>
      <w:numFmt w:val="decimal"/>
      <w:lvlText w:val="%4."/>
      <w:lvlJc w:val="left"/>
      <w:pPr>
        <w:ind w:left="4092" w:hanging="360"/>
      </w:pPr>
    </w:lvl>
    <w:lvl w:ilvl="4" w:tplc="08090019" w:tentative="1">
      <w:start w:val="1"/>
      <w:numFmt w:val="lowerLetter"/>
      <w:lvlText w:val="%5."/>
      <w:lvlJc w:val="left"/>
      <w:pPr>
        <w:ind w:left="4812" w:hanging="360"/>
      </w:pPr>
    </w:lvl>
    <w:lvl w:ilvl="5" w:tplc="0809001B" w:tentative="1">
      <w:start w:val="1"/>
      <w:numFmt w:val="lowerRoman"/>
      <w:lvlText w:val="%6."/>
      <w:lvlJc w:val="right"/>
      <w:pPr>
        <w:ind w:left="5532" w:hanging="180"/>
      </w:pPr>
    </w:lvl>
    <w:lvl w:ilvl="6" w:tplc="0809000F" w:tentative="1">
      <w:start w:val="1"/>
      <w:numFmt w:val="decimal"/>
      <w:lvlText w:val="%7."/>
      <w:lvlJc w:val="left"/>
      <w:pPr>
        <w:ind w:left="6252" w:hanging="360"/>
      </w:pPr>
    </w:lvl>
    <w:lvl w:ilvl="7" w:tplc="08090019" w:tentative="1">
      <w:start w:val="1"/>
      <w:numFmt w:val="lowerLetter"/>
      <w:lvlText w:val="%8."/>
      <w:lvlJc w:val="left"/>
      <w:pPr>
        <w:ind w:left="6972" w:hanging="360"/>
      </w:pPr>
    </w:lvl>
    <w:lvl w:ilvl="8" w:tplc="0809001B" w:tentative="1">
      <w:start w:val="1"/>
      <w:numFmt w:val="lowerRoman"/>
      <w:lvlText w:val="%9."/>
      <w:lvlJc w:val="right"/>
      <w:pPr>
        <w:ind w:left="7692" w:hanging="180"/>
      </w:pPr>
    </w:lvl>
  </w:abstractNum>
  <w:abstractNum w:abstractNumId="19" w15:restartNumberingAfterBreak="0">
    <w:nsid w:val="463B0C9B"/>
    <w:multiLevelType w:val="hybridMultilevel"/>
    <w:tmpl w:val="A6D6061C"/>
    <w:lvl w:ilvl="0" w:tplc="5E007D24">
      <w:numFmt w:val="bullet"/>
      <w:lvlText w:val="•"/>
      <w:lvlJc w:val="left"/>
      <w:pPr>
        <w:ind w:left="2520" w:hanging="360"/>
      </w:pPr>
      <w:rPr>
        <w:rFonts w:asciiTheme="minorHAnsi" w:eastAsiaTheme="minorHAnsi" w:hAnsiTheme="minorHAnsi" w:cstheme="minorBid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5D7F2D02"/>
    <w:multiLevelType w:val="hybridMultilevel"/>
    <w:tmpl w:val="A2763700"/>
    <w:lvl w:ilvl="0" w:tplc="5B6218B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7F272B"/>
    <w:multiLevelType w:val="hybridMultilevel"/>
    <w:tmpl w:val="B85E8B9E"/>
    <w:lvl w:ilvl="0" w:tplc="5E007D24">
      <w:numFmt w:val="bullet"/>
      <w:lvlText w:val="•"/>
      <w:lvlJc w:val="left"/>
      <w:pPr>
        <w:ind w:left="2520" w:hanging="360"/>
      </w:pPr>
      <w:rPr>
        <w:rFonts w:asciiTheme="minorHAnsi" w:eastAsiaTheme="minorHAnsi" w:hAnsiTheme="minorHAnsi" w:cstheme="minorBid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6DA94B00"/>
    <w:multiLevelType w:val="hybridMultilevel"/>
    <w:tmpl w:val="86480872"/>
    <w:lvl w:ilvl="0" w:tplc="5E007D24">
      <w:numFmt w:val="bullet"/>
      <w:lvlText w:val="•"/>
      <w:lvlJc w:val="left"/>
      <w:pPr>
        <w:ind w:left="720" w:hanging="360"/>
      </w:pPr>
      <w:rPr>
        <w:rFonts w:asciiTheme="minorHAnsi" w:eastAsiaTheme="minorHAnsi" w:hAnsiTheme="minorHAnsi" w:cstheme="minorBidi"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EA4B7C"/>
    <w:multiLevelType w:val="hybridMultilevel"/>
    <w:tmpl w:val="F46A1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607FAB"/>
    <w:multiLevelType w:val="hybridMultilevel"/>
    <w:tmpl w:val="3A763350"/>
    <w:lvl w:ilvl="0" w:tplc="5E007D24">
      <w:numFmt w:val="bullet"/>
      <w:lvlText w:val="•"/>
      <w:lvlJc w:val="left"/>
      <w:pPr>
        <w:ind w:left="2520" w:hanging="360"/>
      </w:pPr>
      <w:rPr>
        <w:rFonts w:asciiTheme="minorHAnsi" w:eastAsiaTheme="minorHAnsi" w:hAnsiTheme="minorHAnsi" w:cstheme="minorBid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7F8443BC"/>
    <w:multiLevelType w:val="hybridMultilevel"/>
    <w:tmpl w:val="96560D0C"/>
    <w:lvl w:ilvl="0" w:tplc="5E007D24">
      <w:numFmt w:val="bullet"/>
      <w:lvlText w:val="•"/>
      <w:lvlJc w:val="left"/>
      <w:pPr>
        <w:ind w:left="1080" w:hanging="360"/>
      </w:pPr>
      <w:rPr>
        <w:rFonts w:asciiTheme="minorHAnsi" w:eastAsiaTheme="minorHAnsi" w:hAnsiTheme="minorHAnsi" w:cstheme="minorBidi" w:hint="default"/>
      </w:rPr>
    </w:lvl>
    <w:lvl w:ilvl="1" w:tplc="D5244444">
      <w:numFmt w:val="bullet"/>
      <w:lvlText w:val="·"/>
      <w:lvlJc w:val="left"/>
      <w:pPr>
        <w:ind w:left="1950" w:hanging="510"/>
      </w:pPr>
      <w:rPr>
        <w:rFonts w:ascii="Calibri" w:eastAsia="Times New Roman"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3"/>
  </w:num>
  <w:num w:numId="2">
    <w:abstractNumId w:val="14"/>
  </w:num>
  <w:num w:numId="3">
    <w:abstractNumId w:val="8"/>
  </w:num>
  <w:num w:numId="4">
    <w:abstractNumId w:val="2"/>
  </w:num>
  <w:num w:numId="5">
    <w:abstractNumId w:val="3"/>
  </w:num>
  <w:num w:numId="6">
    <w:abstractNumId w:val="16"/>
  </w:num>
  <w:num w:numId="7">
    <w:abstractNumId w:val="10"/>
  </w:num>
  <w:num w:numId="8">
    <w:abstractNumId w:val="22"/>
  </w:num>
  <w:num w:numId="9">
    <w:abstractNumId w:val="0"/>
  </w:num>
  <w:num w:numId="10">
    <w:abstractNumId w:val="1"/>
  </w:num>
  <w:num w:numId="11">
    <w:abstractNumId w:val="9"/>
  </w:num>
  <w:num w:numId="12">
    <w:abstractNumId w:val="18"/>
  </w:num>
  <w:num w:numId="13">
    <w:abstractNumId w:val="4"/>
  </w:num>
  <w:num w:numId="14">
    <w:abstractNumId w:val="5"/>
  </w:num>
  <w:num w:numId="15">
    <w:abstractNumId w:val="20"/>
  </w:num>
  <w:num w:numId="16">
    <w:abstractNumId w:val="11"/>
  </w:num>
  <w:num w:numId="17">
    <w:abstractNumId w:val="25"/>
  </w:num>
  <w:num w:numId="18">
    <w:abstractNumId w:val="13"/>
  </w:num>
  <w:num w:numId="19">
    <w:abstractNumId w:val="7"/>
  </w:num>
  <w:num w:numId="20">
    <w:abstractNumId w:val="17"/>
  </w:num>
  <w:num w:numId="21">
    <w:abstractNumId w:val="15"/>
  </w:num>
  <w:num w:numId="22">
    <w:abstractNumId w:val="21"/>
  </w:num>
  <w:num w:numId="23">
    <w:abstractNumId w:val="6"/>
  </w:num>
  <w:num w:numId="24">
    <w:abstractNumId w:val="24"/>
  </w:num>
  <w:num w:numId="25">
    <w:abstractNumId w:val="1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F14"/>
    <w:rsid w:val="000020DB"/>
    <w:rsid w:val="000B666D"/>
    <w:rsid w:val="000D5585"/>
    <w:rsid w:val="000E3CE8"/>
    <w:rsid w:val="000F4578"/>
    <w:rsid w:val="0013180E"/>
    <w:rsid w:val="0014321D"/>
    <w:rsid w:val="00144383"/>
    <w:rsid w:val="0015144D"/>
    <w:rsid w:val="001714D7"/>
    <w:rsid w:val="00172602"/>
    <w:rsid w:val="001C7EED"/>
    <w:rsid w:val="001E2A90"/>
    <w:rsid w:val="001F43A1"/>
    <w:rsid w:val="002348FF"/>
    <w:rsid w:val="00244CC4"/>
    <w:rsid w:val="002808A2"/>
    <w:rsid w:val="00282555"/>
    <w:rsid w:val="002A2192"/>
    <w:rsid w:val="002C1D18"/>
    <w:rsid w:val="00311750"/>
    <w:rsid w:val="00312226"/>
    <w:rsid w:val="0031236A"/>
    <w:rsid w:val="00327234"/>
    <w:rsid w:val="00347DBB"/>
    <w:rsid w:val="00352F39"/>
    <w:rsid w:val="00366DF4"/>
    <w:rsid w:val="00376C15"/>
    <w:rsid w:val="003C74AB"/>
    <w:rsid w:val="003E687F"/>
    <w:rsid w:val="004265AB"/>
    <w:rsid w:val="00436B4C"/>
    <w:rsid w:val="0045262B"/>
    <w:rsid w:val="004C29CE"/>
    <w:rsid w:val="004C3751"/>
    <w:rsid w:val="004C6521"/>
    <w:rsid w:val="004D11CB"/>
    <w:rsid w:val="004F7CEF"/>
    <w:rsid w:val="00505F67"/>
    <w:rsid w:val="00515B5C"/>
    <w:rsid w:val="0053001D"/>
    <w:rsid w:val="00530EA4"/>
    <w:rsid w:val="00557491"/>
    <w:rsid w:val="00572304"/>
    <w:rsid w:val="00574747"/>
    <w:rsid w:val="00590C75"/>
    <w:rsid w:val="006155DE"/>
    <w:rsid w:val="00623955"/>
    <w:rsid w:val="006375F1"/>
    <w:rsid w:val="00641980"/>
    <w:rsid w:val="0065470C"/>
    <w:rsid w:val="00657F71"/>
    <w:rsid w:val="00695F14"/>
    <w:rsid w:val="006A2C30"/>
    <w:rsid w:val="00733878"/>
    <w:rsid w:val="00763761"/>
    <w:rsid w:val="00766B35"/>
    <w:rsid w:val="0087431B"/>
    <w:rsid w:val="00881C41"/>
    <w:rsid w:val="008A3633"/>
    <w:rsid w:val="00911F48"/>
    <w:rsid w:val="009574C3"/>
    <w:rsid w:val="009B3471"/>
    <w:rsid w:val="009E26AB"/>
    <w:rsid w:val="00A273F9"/>
    <w:rsid w:val="00A57FC9"/>
    <w:rsid w:val="00AB78D4"/>
    <w:rsid w:val="00B33BB5"/>
    <w:rsid w:val="00B546A0"/>
    <w:rsid w:val="00B66ED0"/>
    <w:rsid w:val="00B67DFD"/>
    <w:rsid w:val="00BA1626"/>
    <w:rsid w:val="00BB56BA"/>
    <w:rsid w:val="00BD6AE4"/>
    <w:rsid w:val="00C20119"/>
    <w:rsid w:val="00C327A1"/>
    <w:rsid w:val="00C55190"/>
    <w:rsid w:val="00C57326"/>
    <w:rsid w:val="00CD62B8"/>
    <w:rsid w:val="00D1195C"/>
    <w:rsid w:val="00D3274A"/>
    <w:rsid w:val="00D33FC3"/>
    <w:rsid w:val="00D660D5"/>
    <w:rsid w:val="00D77315"/>
    <w:rsid w:val="00D86F47"/>
    <w:rsid w:val="00D87D29"/>
    <w:rsid w:val="00D9625E"/>
    <w:rsid w:val="00DD437E"/>
    <w:rsid w:val="00E0074E"/>
    <w:rsid w:val="00E31363"/>
    <w:rsid w:val="00E34D7B"/>
    <w:rsid w:val="00E7518F"/>
    <w:rsid w:val="00E762DE"/>
    <w:rsid w:val="00E84043"/>
    <w:rsid w:val="00EF1A7B"/>
    <w:rsid w:val="00EF3B2E"/>
    <w:rsid w:val="00F57D0B"/>
    <w:rsid w:val="00FA2B63"/>
    <w:rsid w:val="00FB740B"/>
    <w:rsid w:val="00FE2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5FF852"/>
  <w15:docId w15:val="{6F50F81F-5F73-4430-9AAD-A196C230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5F14"/>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95F14"/>
    <w:rPr>
      <w:color w:val="0000FF"/>
      <w:u w:val="single"/>
    </w:rPr>
  </w:style>
  <w:style w:type="paragraph" w:styleId="ListParagraph">
    <w:name w:val="List Paragraph"/>
    <w:basedOn w:val="Normal"/>
    <w:uiPriority w:val="34"/>
    <w:qFormat/>
    <w:rsid w:val="0053001D"/>
    <w:pPr>
      <w:ind w:left="720"/>
      <w:contextualSpacing/>
    </w:pPr>
  </w:style>
  <w:style w:type="paragraph" w:styleId="Header">
    <w:name w:val="header"/>
    <w:basedOn w:val="Normal"/>
    <w:link w:val="HeaderChar"/>
    <w:uiPriority w:val="99"/>
    <w:unhideWhenUsed/>
    <w:rsid w:val="001714D7"/>
    <w:pPr>
      <w:tabs>
        <w:tab w:val="center" w:pos="4513"/>
        <w:tab w:val="right" w:pos="9026"/>
      </w:tabs>
    </w:pPr>
  </w:style>
  <w:style w:type="character" w:customStyle="1" w:styleId="HeaderChar">
    <w:name w:val="Header Char"/>
    <w:basedOn w:val="DefaultParagraphFont"/>
    <w:link w:val="Header"/>
    <w:uiPriority w:val="99"/>
    <w:rsid w:val="001714D7"/>
    <w:rPr>
      <w:rFonts w:ascii="Calibri" w:hAnsi="Calibri" w:cs="Times New Roman"/>
      <w:lang w:eastAsia="en-GB"/>
    </w:rPr>
  </w:style>
  <w:style w:type="paragraph" w:styleId="Footer">
    <w:name w:val="footer"/>
    <w:basedOn w:val="Normal"/>
    <w:link w:val="FooterChar"/>
    <w:uiPriority w:val="99"/>
    <w:unhideWhenUsed/>
    <w:rsid w:val="001714D7"/>
    <w:pPr>
      <w:tabs>
        <w:tab w:val="center" w:pos="4513"/>
        <w:tab w:val="right" w:pos="9026"/>
      </w:tabs>
    </w:pPr>
  </w:style>
  <w:style w:type="character" w:customStyle="1" w:styleId="FooterChar">
    <w:name w:val="Footer Char"/>
    <w:basedOn w:val="DefaultParagraphFont"/>
    <w:link w:val="Footer"/>
    <w:uiPriority w:val="99"/>
    <w:rsid w:val="001714D7"/>
    <w:rPr>
      <w:rFonts w:ascii="Calibri" w:hAnsi="Calibri" w:cs="Times New Roman"/>
      <w:lang w:eastAsia="en-GB"/>
    </w:rPr>
  </w:style>
  <w:style w:type="paragraph" w:styleId="BalloonText">
    <w:name w:val="Balloon Text"/>
    <w:basedOn w:val="Normal"/>
    <w:link w:val="BalloonTextChar"/>
    <w:uiPriority w:val="99"/>
    <w:semiHidden/>
    <w:unhideWhenUsed/>
    <w:rsid w:val="00376C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C15"/>
    <w:rPr>
      <w:rFonts w:ascii="Segoe UI" w:hAnsi="Segoe UI" w:cs="Segoe UI"/>
      <w:sz w:val="18"/>
      <w:szCs w:val="18"/>
      <w:lang w:eastAsia="en-GB"/>
    </w:rPr>
  </w:style>
  <w:style w:type="character" w:styleId="CommentReference">
    <w:name w:val="annotation reference"/>
    <w:basedOn w:val="DefaultParagraphFont"/>
    <w:uiPriority w:val="99"/>
    <w:semiHidden/>
    <w:unhideWhenUsed/>
    <w:rsid w:val="00BA1626"/>
    <w:rPr>
      <w:sz w:val="16"/>
      <w:szCs w:val="16"/>
    </w:rPr>
  </w:style>
  <w:style w:type="paragraph" w:styleId="CommentText">
    <w:name w:val="annotation text"/>
    <w:basedOn w:val="Normal"/>
    <w:link w:val="CommentTextChar"/>
    <w:uiPriority w:val="99"/>
    <w:semiHidden/>
    <w:unhideWhenUsed/>
    <w:rsid w:val="00BA1626"/>
    <w:rPr>
      <w:sz w:val="20"/>
      <w:szCs w:val="20"/>
    </w:rPr>
  </w:style>
  <w:style w:type="character" w:customStyle="1" w:styleId="CommentTextChar">
    <w:name w:val="Comment Text Char"/>
    <w:basedOn w:val="DefaultParagraphFont"/>
    <w:link w:val="CommentText"/>
    <w:uiPriority w:val="99"/>
    <w:semiHidden/>
    <w:rsid w:val="00BA1626"/>
    <w:rPr>
      <w:rFonts w:ascii="Calibri"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A1626"/>
    <w:rPr>
      <w:b/>
      <w:bCs/>
    </w:rPr>
  </w:style>
  <w:style w:type="character" w:customStyle="1" w:styleId="CommentSubjectChar">
    <w:name w:val="Comment Subject Char"/>
    <w:basedOn w:val="CommentTextChar"/>
    <w:link w:val="CommentSubject"/>
    <w:uiPriority w:val="99"/>
    <w:semiHidden/>
    <w:rsid w:val="00BA1626"/>
    <w:rPr>
      <w:rFonts w:ascii="Calibri" w:hAnsi="Calibri" w:cs="Times New Roman"/>
      <w:b/>
      <w:bCs/>
      <w:sz w:val="20"/>
      <w:szCs w:val="20"/>
      <w:lang w:eastAsia="en-GB"/>
    </w:rPr>
  </w:style>
  <w:style w:type="paragraph" w:customStyle="1" w:styleId="Default">
    <w:name w:val="Default"/>
    <w:basedOn w:val="Normal"/>
    <w:rsid w:val="00F57D0B"/>
    <w:pPr>
      <w:autoSpaceDE w:val="0"/>
      <w:autoSpaceDN w:val="0"/>
    </w:pPr>
    <w:rPr>
      <w:rFonts w:ascii="Frutiger LT Std 45 Light" w:hAnsi="Frutiger LT Std 45 Light"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359428">
      <w:bodyDiv w:val="1"/>
      <w:marLeft w:val="0"/>
      <w:marRight w:val="0"/>
      <w:marTop w:val="0"/>
      <w:marBottom w:val="0"/>
      <w:divBdr>
        <w:top w:val="none" w:sz="0" w:space="0" w:color="auto"/>
        <w:left w:val="none" w:sz="0" w:space="0" w:color="auto"/>
        <w:bottom w:val="none" w:sz="0" w:space="0" w:color="auto"/>
        <w:right w:val="none" w:sz="0" w:space="0" w:color="auto"/>
      </w:divBdr>
    </w:div>
    <w:div w:id="826167276">
      <w:bodyDiv w:val="1"/>
      <w:marLeft w:val="0"/>
      <w:marRight w:val="0"/>
      <w:marTop w:val="0"/>
      <w:marBottom w:val="0"/>
      <w:divBdr>
        <w:top w:val="none" w:sz="0" w:space="0" w:color="auto"/>
        <w:left w:val="none" w:sz="0" w:space="0" w:color="auto"/>
        <w:bottom w:val="none" w:sz="0" w:space="0" w:color="auto"/>
        <w:right w:val="none" w:sz="0" w:space="0" w:color="auto"/>
      </w:divBdr>
    </w:div>
    <w:div w:id="846752808">
      <w:bodyDiv w:val="1"/>
      <w:marLeft w:val="0"/>
      <w:marRight w:val="0"/>
      <w:marTop w:val="0"/>
      <w:marBottom w:val="0"/>
      <w:divBdr>
        <w:top w:val="none" w:sz="0" w:space="0" w:color="auto"/>
        <w:left w:val="none" w:sz="0" w:space="0" w:color="auto"/>
        <w:bottom w:val="none" w:sz="0" w:space="0" w:color="auto"/>
        <w:right w:val="none" w:sz="0" w:space="0" w:color="auto"/>
      </w:divBdr>
    </w:div>
    <w:div w:id="1582182187">
      <w:bodyDiv w:val="1"/>
      <w:marLeft w:val="0"/>
      <w:marRight w:val="0"/>
      <w:marTop w:val="0"/>
      <w:marBottom w:val="0"/>
      <w:divBdr>
        <w:top w:val="none" w:sz="0" w:space="0" w:color="auto"/>
        <w:left w:val="none" w:sz="0" w:space="0" w:color="auto"/>
        <w:bottom w:val="none" w:sz="0" w:space="0" w:color="auto"/>
        <w:right w:val="none" w:sz="0" w:space="0" w:color="auto"/>
      </w:divBdr>
      <w:divsChild>
        <w:div w:id="1652252771">
          <w:marLeft w:val="0"/>
          <w:marRight w:val="0"/>
          <w:marTop w:val="0"/>
          <w:marBottom w:val="0"/>
          <w:divBdr>
            <w:top w:val="none" w:sz="0" w:space="0" w:color="auto"/>
            <w:left w:val="none" w:sz="0" w:space="0" w:color="auto"/>
            <w:bottom w:val="none" w:sz="0" w:space="0" w:color="auto"/>
            <w:right w:val="none" w:sz="0" w:space="0" w:color="auto"/>
          </w:divBdr>
          <w:divsChild>
            <w:div w:id="112939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412373">
      <w:bodyDiv w:val="1"/>
      <w:marLeft w:val="0"/>
      <w:marRight w:val="0"/>
      <w:marTop w:val="0"/>
      <w:marBottom w:val="0"/>
      <w:divBdr>
        <w:top w:val="none" w:sz="0" w:space="0" w:color="auto"/>
        <w:left w:val="none" w:sz="0" w:space="0" w:color="auto"/>
        <w:bottom w:val="none" w:sz="0" w:space="0" w:color="auto"/>
        <w:right w:val="none" w:sz="0" w:space="0" w:color="auto"/>
      </w:divBdr>
      <w:divsChild>
        <w:div w:id="1758211759">
          <w:marLeft w:val="0"/>
          <w:marRight w:val="0"/>
          <w:marTop w:val="0"/>
          <w:marBottom w:val="300"/>
          <w:divBdr>
            <w:top w:val="single" w:sz="2" w:space="0" w:color="CAD9F4"/>
            <w:left w:val="single" w:sz="6" w:space="0" w:color="CAD9F4"/>
            <w:bottom w:val="single" w:sz="6" w:space="0" w:color="CAD9F4"/>
            <w:right w:val="single" w:sz="6" w:space="0" w:color="CAD9F4"/>
          </w:divBdr>
          <w:divsChild>
            <w:div w:id="436102003">
              <w:marLeft w:val="0"/>
              <w:marRight w:val="0"/>
              <w:marTop w:val="0"/>
              <w:marBottom w:val="0"/>
              <w:divBdr>
                <w:top w:val="none" w:sz="0" w:space="0" w:color="auto"/>
                <w:left w:val="none" w:sz="0" w:space="0" w:color="auto"/>
                <w:bottom w:val="none" w:sz="0" w:space="0" w:color="auto"/>
                <w:right w:val="none" w:sz="0" w:space="0" w:color="auto"/>
              </w:divBdr>
              <w:divsChild>
                <w:div w:id="719402092">
                  <w:marLeft w:val="0"/>
                  <w:marRight w:val="0"/>
                  <w:marTop w:val="0"/>
                  <w:marBottom w:val="0"/>
                  <w:divBdr>
                    <w:top w:val="none" w:sz="0" w:space="0" w:color="auto"/>
                    <w:left w:val="none" w:sz="0" w:space="0" w:color="auto"/>
                    <w:bottom w:val="none" w:sz="0" w:space="0" w:color="auto"/>
                    <w:right w:val="none" w:sz="0" w:space="0" w:color="auto"/>
                  </w:divBdr>
                  <w:divsChild>
                    <w:div w:id="216547650">
                      <w:marLeft w:val="0"/>
                      <w:marRight w:val="0"/>
                      <w:marTop w:val="0"/>
                      <w:marBottom w:val="0"/>
                      <w:divBdr>
                        <w:top w:val="none" w:sz="0" w:space="0" w:color="auto"/>
                        <w:left w:val="none" w:sz="0" w:space="0" w:color="auto"/>
                        <w:bottom w:val="none" w:sz="0" w:space="0" w:color="auto"/>
                        <w:right w:val="none" w:sz="0" w:space="0" w:color="auto"/>
                      </w:divBdr>
                      <w:divsChild>
                        <w:div w:id="185060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74300-1542-4E80-B778-BA864D21F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4237</Words>
  <Characters>24155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28336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Berriman</dc:creator>
  <cp:lastModifiedBy>Francesca Berriman</cp:lastModifiedBy>
  <cp:revision>3</cp:revision>
  <cp:lastPrinted>2018-01-23T12:37:00Z</cp:lastPrinted>
  <dcterms:created xsi:type="dcterms:W3CDTF">2018-07-31T16:16:00Z</dcterms:created>
  <dcterms:modified xsi:type="dcterms:W3CDTF">2018-07-31T16:22:00Z</dcterms:modified>
</cp:coreProperties>
</file>